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80" w:lineRule="exact"/>
        <w:ind w:right="-72" w:rightChars="-30"/>
        <w:rPr>
          <w:rFonts w:hint="eastAsia" w:ascii="宋体" w:hAnsi="宋体" w:cs="宋体"/>
        </w:rPr>
      </w:pPr>
      <w:r>
        <w:rPr>
          <w:rFonts w:hint="eastAsia" w:ascii="宋体" w:hAnsi="宋体" w:cs="宋体"/>
        </w:rPr>
        <w:t>第四章 采购需求</w:t>
      </w:r>
    </w:p>
    <w:p>
      <w:pPr>
        <w:widowControl/>
        <w:adjustRightInd w:val="0"/>
        <w:spacing w:line="360" w:lineRule="auto"/>
        <w:rPr>
          <w:rFonts w:ascii="宋体" w:hAnsi="宋体"/>
          <w:b/>
          <w:kern w:val="0"/>
          <w:sz w:val="21"/>
          <w:szCs w:val="21"/>
        </w:rPr>
      </w:pPr>
      <w:r>
        <w:rPr>
          <w:rFonts w:hint="eastAsia" w:ascii="宋体" w:hAnsi="宋体"/>
          <w:b/>
          <w:kern w:val="0"/>
          <w:sz w:val="21"/>
          <w:szCs w:val="21"/>
        </w:rPr>
        <w:t>一、</w:t>
      </w:r>
      <w:r>
        <w:rPr>
          <w:rFonts w:ascii="宋体" w:hAnsi="宋体"/>
          <w:b/>
          <w:kern w:val="0"/>
          <w:sz w:val="21"/>
          <w:szCs w:val="21"/>
        </w:rPr>
        <w:t>相关说明</w:t>
      </w:r>
    </w:p>
    <w:p>
      <w:pPr>
        <w:keepNext w:val="0"/>
        <w:keepLines w:val="0"/>
        <w:pageBreakBefore w:val="0"/>
        <w:widowControl/>
        <w:numPr>
          <w:ilvl w:val="2"/>
          <w:numId w:val="1"/>
        </w:numPr>
        <w:kinsoku/>
        <w:wordWrap/>
        <w:overflowPunct/>
        <w:topLinePunct w:val="0"/>
        <w:autoSpaceDE/>
        <w:autoSpaceDN/>
        <w:bidi w:val="0"/>
        <w:adjustRightInd w:val="0"/>
        <w:snapToGrid/>
        <w:spacing w:line="440" w:lineRule="exact"/>
        <w:ind w:firstLine="420" w:firstLineChars="200"/>
        <w:jc w:val="left"/>
        <w:textAlignment w:val="auto"/>
        <w:rPr>
          <w:rFonts w:hint="eastAsia" w:ascii="宋体" w:hAnsi="宋体"/>
          <w:kern w:val="0"/>
          <w:sz w:val="21"/>
          <w:szCs w:val="21"/>
        </w:rPr>
      </w:pPr>
      <w:r>
        <w:rPr>
          <w:rFonts w:ascii="宋体" w:hAnsi="宋体"/>
          <w:bCs/>
          <w:kern w:val="0"/>
          <w:sz w:val="21"/>
          <w:szCs w:val="21"/>
        </w:rPr>
        <w:t>招标文件中</w:t>
      </w:r>
      <w:r>
        <w:rPr>
          <w:rFonts w:hint="eastAsia" w:ascii="宋体" w:hAnsi="宋体"/>
          <w:bCs/>
          <w:kern w:val="0"/>
          <w:sz w:val="21"/>
          <w:szCs w:val="21"/>
        </w:rPr>
        <w:t>列出</w:t>
      </w:r>
      <w:r>
        <w:rPr>
          <w:rFonts w:ascii="宋体" w:hAnsi="宋体"/>
          <w:bCs/>
          <w:kern w:val="0"/>
          <w:sz w:val="21"/>
          <w:szCs w:val="21"/>
        </w:rPr>
        <w:t>的质</w:t>
      </w:r>
      <w:r>
        <w:rPr>
          <w:rFonts w:hint="eastAsia" w:ascii="宋体" w:hAnsi="宋体"/>
          <w:bCs/>
          <w:kern w:val="0"/>
          <w:sz w:val="21"/>
          <w:szCs w:val="21"/>
        </w:rPr>
        <w:t>量技术参数</w:t>
      </w:r>
      <w:r>
        <w:rPr>
          <w:rFonts w:ascii="宋体" w:hAnsi="宋体"/>
          <w:bCs/>
          <w:kern w:val="0"/>
          <w:sz w:val="21"/>
          <w:szCs w:val="21"/>
        </w:rPr>
        <w:t>或</w:t>
      </w:r>
      <w:r>
        <w:rPr>
          <w:rFonts w:hint="eastAsia" w:ascii="宋体" w:hAnsi="宋体"/>
          <w:bCs/>
          <w:kern w:val="0"/>
          <w:sz w:val="21"/>
          <w:szCs w:val="21"/>
        </w:rPr>
        <w:t>型号</w:t>
      </w:r>
      <w:r>
        <w:rPr>
          <w:rFonts w:ascii="宋体" w:hAnsi="宋体"/>
          <w:bCs/>
          <w:kern w:val="0"/>
          <w:sz w:val="21"/>
          <w:szCs w:val="21"/>
        </w:rPr>
        <w:t>与某产品相同</w:t>
      </w:r>
      <w:r>
        <w:rPr>
          <w:rFonts w:hint="eastAsia" w:ascii="宋体" w:hAnsi="宋体"/>
          <w:bCs/>
          <w:kern w:val="0"/>
          <w:sz w:val="21"/>
          <w:szCs w:val="21"/>
        </w:rPr>
        <w:t>时</w:t>
      </w:r>
      <w:r>
        <w:rPr>
          <w:rFonts w:ascii="宋体" w:hAnsi="宋体"/>
          <w:bCs/>
          <w:kern w:val="0"/>
          <w:sz w:val="21"/>
          <w:szCs w:val="21"/>
        </w:rPr>
        <w:t>仅</w:t>
      </w:r>
      <w:r>
        <w:rPr>
          <w:rFonts w:hint="eastAsia" w:ascii="宋体" w:hAnsi="宋体"/>
          <w:bCs/>
          <w:kern w:val="0"/>
          <w:sz w:val="21"/>
          <w:szCs w:val="21"/>
        </w:rPr>
        <w:t>作为</w:t>
      </w:r>
      <w:r>
        <w:rPr>
          <w:rFonts w:ascii="宋体" w:hAnsi="宋体"/>
          <w:bCs/>
          <w:kern w:val="0"/>
          <w:sz w:val="21"/>
          <w:szCs w:val="21"/>
        </w:rPr>
        <w:t>投标人选择</w:t>
      </w:r>
      <w:r>
        <w:rPr>
          <w:rFonts w:hint="eastAsia" w:ascii="宋体" w:hAnsi="宋体"/>
          <w:bCs/>
          <w:kern w:val="0"/>
          <w:sz w:val="21"/>
          <w:szCs w:val="21"/>
        </w:rPr>
        <w:t>投标产品</w:t>
      </w:r>
      <w:r>
        <w:rPr>
          <w:rFonts w:ascii="宋体" w:hAnsi="宋体"/>
          <w:bCs/>
          <w:kern w:val="0"/>
          <w:sz w:val="21"/>
          <w:szCs w:val="21"/>
        </w:rPr>
        <w:t>时在质量水平上</w:t>
      </w:r>
      <w:r>
        <w:rPr>
          <w:rFonts w:hint="eastAsia" w:ascii="宋体" w:hAnsi="宋体"/>
          <w:bCs/>
          <w:kern w:val="0"/>
          <w:sz w:val="21"/>
          <w:szCs w:val="21"/>
        </w:rPr>
        <w:t>的</w:t>
      </w:r>
      <w:r>
        <w:rPr>
          <w:rFonts w:ascii="宋体" w:hAnsi="宋体"/>
          <w:bCs/>
          <w:kern w:val="0"/>
          <w:sz w:val="21"/>
          <w:szCs w:val="21"/>
        </w:rPr>
        <w:t>参考，不</w:t>
      </w:r>
      <w:r>
        <w:rPr>
          <w:rFonts w:hint="eastAsia" w:ascii="宋体" w:hAnsi="宋体"/>
          <w:bCs/>
          <w:kern w:val="0"/>
          <w:sz w:val="21"/>
          <w:szCs w:val="21"/>
        </w:rPr>
        <w:t>强</w:t>
      </w:r>
      <w:r>
        <w:rPr>
          <w:rFonts w:ascii="宋体" w:hAnsi="宋体"/>
          <w:bCs/>
          <w:kern w:val="0"/>
          <w:sz w:val="21"/>
          <w:szCs w:val="21"/>
        </w:rPr>
        <w:t>制</w:t>
      </w:r>
      <w:r>
        <w:rPr>
          <w:rFonts w:hint="eastAsia" w:ascii="宋体" w:hAnsi="宋体"/>
          <w:bCs/>
          <w:kern w:val="0"/>
          <w:sz w:val="21"/>
          <w:szCs w:val="21"/>
        </w:rPr>
        <w:t>采购某一特定产品</w:t>
      </w:r>
      <w:r>
        <w:rPr>
          <w:rFonts w:ascii="宋体" w:hAnsi="宋体"/>
          <w:bCs/>
          <w:kern w:val="0"/>
          <w:sz w:val="21"/>
          <w:szCs w:val="21"/>
        </w:rPr>
        <w:t>，投标人可提供</w:t>
      </w:r>
      <w:r>
        <w:rPr>
          <w:rFonts w:hint="eastAsia" w:ascii="宋体" w:hAnsi="宋体"/>
          <w:bCs/>
          <w:kern w:val="0"/>
          <w:sz w:val="21"/>
          <w:szCs w:val="21"/>
        </w:rPr>
        <w:t>符合采购需求</w:t>
      </w:r>
      <w:r>
        <w:rPr>
          <w:rFonts w:ascii="宋体" w:hAnsi="宋体"/>
          <w:bCs/>
          <w:kern w:val="0"/>
          <w:sz w:val="21"/>
          <w:szCs w:val="21"/>
        </w:rPr>
        <w:t>或</w:t>
      </w:r>
      <w:r>
        <w:rPr>
          <w:rFonts w:hint="eastAsia" w:ascii="宋体" w:hAnsi="宋体"/>
          <w:bCs/>
          <w:kern w:val="0"/>
          <w:sz w:val="21"/>
          <w:szCs w:val="21"/>
        </w:rPr>
        <w:t>更</w:t>
      </w:r>
      <w:r>
        <w:rPr>
          <w:rFonts w:ascii="宋体" w:hAnsi="宋体"/>
          <w:bCs/>
          <w:kern w:val="0"/>
          <w:sz w:val="21"/>
          <w:szCs w:val="21"/>
        </w:rPr>
        <w:t>优</w:t>
      </w:r>
      <w:r>
        <w:rPr>
          <w:rFonts w:hint="eastAsia" w:ascii="宋体" w:hAnsi="宋体"/>
          <w:bCs/>
          <w:kern w:val="0"/>
          <w:sz w:val="21"/>
          <w:szCs w:val="21"/>
        </w:rPr>
        <w:t>的产品及</w:t>
      </w:r>
      <w:r>
        <w:rPr>
          <w:rFonts w:ascii="宋体" w:hAnsi="宋体"/>
          <w:bCs/>
          <w:kern w:val="0"/>
          <w:sz w:val="21"/>
          <w:szCs w:val="21"/>
        </w:rPr>
        <w:t>方案</w:t>
      </w:r>
      <w:r>
        <w:rPr>
          <w:rFonts w:ascii="宋体" w:hAnsi="宋体"/>
          <w:kern w:val="0"/>
          <w:sz w:val="21"/>
          <w:szCs w:val="21"/>
        </w:rPr>
        <w:t>。</w:t>
      </w:r>
    </w:p>
    <w:p>
      <w:pPr>
        <w:keepNext w:val="0"/>
        <w:keepLines w:val="0"/>
        <w:pageBreakBefore w:val="0"/>
        <w:widowControl/>
        <w:numPr>
          <w:ilvl w:val="2"/>
          <w:numId w:val="1"/>
        </w:numPr>
        <w:kinsoku/>
        <w:wordWrap/>
        <w:overflowPunct/>
        <w:topLinePunct w:val="0"/>
        <w:autoSpaceDE/>
        <w:autoSpaceDN/>
        <w:bidi w:val="0"/>
        <w:adjustRightInd w:val="0"/>
        <w:snapToGrid/>
        <w:spacing w:line="440" w:lineRule="exact"/>
        <w:ind w:firstLine="420" w:firstLineChars="200"/>
        <w:jc w:val="left"/>
        <w:textAlignment w:val="auto"/>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本次采购内容如果要求的某些技术标准低于国家标准，均以最新的国家标准为准。招标技术要求中未明确的技术标准也均不得低于国家标准；</w:t>
      </w:r>
    </w:p>
    <w:p>
      <w:pPr>
        <w:keepNext w:val="0"/>
        <w:keepLines w:val="0"/>
        <w:pageBreakBefore w:val="0"/>
        <w:widowControl/>
        <w:kinsoku/>
        <w:wordWrap/>
        <w:overflowPunct/>
        <w:topLinePunct w:val="0"/>
        <w:autoSpaceDE/>
        <w:autoSpaceDN/>
        <w:bidi w:val="0"/>
        <w:adjustRightInd w:val="0"/>
        <w:snapToGrid/>
        <w:spacing w:line="440" w:lineRule="exact"/>
        <w:ind w:firstLine="422" w:firstLineChars="200"/>
        <w:jc w:val="left"/>
        <w:textAlignment w:val="auto"/>
        <w:rPr>
          <w:rFonts w:hint="eastAsia" w:ascii="宋体" w:hAnsi="宋体"/>
          <w:kern w:val="0"/>
          <w:sz w:val="21"/>
          <w:szCs w:val="21"/>
        </w:rPr>
      </w:pPr>
      <w:r>
        <w:rPr>
          <w:rFonts w:hint="eastAsia" w:ascii="宋体" w:hAnsi="宋体"/>
          <w:b/>
          <w:bCs/>
          <w:color w:val="0000FF"/>
          <w:sz w:val="21"/>
          <w:szCs w:val="21"/>
          <w:shd w:val="clear" w:color="auto" w:fill="FFFFFF"/>
        </w:rPr>
        <w:t>本次采购产品如在国家强制性认证范围内的必须取得国家强制性CCC认证（提供CCC认证证书，投标文件中附扫描件</w:t>
      </w:r>
      <w:r>
        <w:rPr>
          <w:rFonts w:hint="eastAsia" w:ascii="宋体" w:hAnsi="宋体"/>
          <w:b/>
          <w:bCs/>
          <w:color w:val="0000FF"/>
          <w:sz w:val="21"/>
          <w:szCs w:val="21"/>
          <w:shd w:val="clear" w:color="auto" w:fill="FFFFFF"/>
          <w:lang w:eastAsia="zh-CN"/>
        </w:rPr>
        <w:t>或复印件</w:t>
      </w:r>
      <w:r>
        <w:rPr>
          <w:rFonts w:hint="eastAsia" w:ascii="宋体" w:hAnsi="宋体"/>
          <w:b/>
          <w:bCs/>
          <w:color w:val="0000FF"/>
          <w:sz w:val="21"/>
          <w:szCs w:val="21"/>
          <w:shd w:val="clear" w:color="auto" w:fill="FFFFFF"/>
        </w:rPr>
        <w:t>）。</w:t>
      </w:r>
    </w:p>
    <w:p>
      <w:pPr>
        <w:keepNext w:val="0"/>
        <w:keepLines w:val="0"/>
        <w:pageBreakBefore w:val="0"/>
        <w:widowControl/>
        <w:numPr>
          <w:ilvl w:val="2"/>
          <w:numId w:val="1"/>
        </w:numPr>
        <w:kinsoku/>
        <w:wordWrap/>
        <w:overflowPunct/>
        <w:topLinePunct w:val="0"/>
        <w:autoSpaceDE/>
        <w:autoSpaceDN/>
        <w:bidi w:val="0"/>
        <w:adjustRightInd w:val="0"/>
        <w:snapToGrid/>
        <w:spacing w:line="440" w:lineRule="exact"/>
        <w:ind w:firstLine="420" w:firstLineChars="200"/>
        <w:jc w:val="left"/>
        <w:textAlignment w:val="auto"/>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pPr>
        <w:keepNext w:val="0"/>
        <w:keepLines w:val="0"/>
        <w:pageBreakBefore w:val="0"/>
        <w:widowControl/>
        <w:numPr>
          <w:ilvl w:val="2"/>
          <w:numId w:val="1"/>
        </w:numPr>
        <w:kinsoku/>
        <w:wordWrap/>
        <w:overflowPunct/>
        <w:topLinePunct w:val="0"/>
        <w:autoSpaceDE/>
        <w:autoSpaceDN/>
        <w:bidi w:val="0"/>
        <w:adjustRightInd w:val="0"/>
        <w:snapToGrid/>
        <w:spacing w:line="440" w:lineRule="exact"/>
        <w:ind w:firstLine="420" w:firstLineChars="200"/>
        <w:jc w:val="left"/>
        <w:textAlignment w:val="auto"/>
        <w:rPr>
          <w:rFonts w:ascii="宋体" w:hAnsi="宋体"/>
          <w:kern w:val="0"/>
          <w:sz w:val="21"/>
          <w:szCs w:val="21"/>
        </w:rPr>
      </w:pPr>
      <w:r>
        <w:rPr>
          <w:rFonts w:hint="eastAsia" w:ascii="宋体" w:hAnsi="宋体"/>
          <w:kern w:val="0"/>
          <w:sz w:val="21"/>
          <w:szCs w:val="21"/>
        </w:rPr>
        <w:t>商品包装要求：</w:t>
      </w:r>
    </w:p>
    <w:p>
      <w:pPr>
        <w:keepNext w:val="0"/>
        <w:keepLines w:val="0"/>
        <w:pageBreakBefore w:val="0"/>
        <w:widowControl/>
        <w:kinsoku/>
        <w:wordWrap/>
        <w:overflowPunct/>
        <w:topLinePunct w:val="0"/>
        <w:autoSpaceDE/>
        <w:autoSpaceDN/>
        <w:bidi w:val="0"/>
        <w:snapToGrid/>
        <w:spacing w:line="440" w:lineRule="exact"/>
        <w:textAlignment w:val="auto"/>
        <w:rPr>
          <w:rFonts w:hint="eastAsia" w:ascii="宋体" w:hAnsi="宋体"/>
          <w:color w:val="000000"/>
          <w:kern w:val="0"/>
          <w:sz w:val="21"/>
          <w:szCs w:val="21"/>
          <w:lang w:bidi="ar"/>
        </w:rPr>
      </w:pPr>
      <w:r>
        <w:rPr>
          <w:rFonts w:hint="eastAsia" w:ascii="黑体" w:hAnsi="宋体" w:eastAsia="黑体" w:cs="黑体"/>
          <w:color w:val="000000"/>
          <w:kern w:val="0"/>
          <w:sz w:val="21"/>
          <w:szCs w:val="21"/>
          <w:lang w:bidi="ar"/>
        </w:rPr>
        <w:t xml:space="preserve">    </w:t>
      </w:r>
      <w:r>
        <w:rPr>
          <w:rFonts w:hint="eastAsia" w:ascii="宋体" w:hAnsi="宋体"/>
          <w:color w:val="000000"/>
          <w:kern w:val="0"/>
          <w:sz w:val="21"/>
          <w:szCs w:val="21"/>
          <w:lang w:bidi="ar"/>
        </w:rPr>
        <w:t xml:space="preserve">4.1适用范围 </w:t>
      </w:r>
    </w:p>
    <w:p>
      <w:pPr>
        <w:keepNext w:val="0"/>
        <w:keepLines w:val="0"/>
        <w:pageBreakBefore w:val="0"/>
        <w:widowControl/>
        <w:kinsoku/>
        <w:wordWrap/>
        <w:overflowPunct/>
        <w:topLinePunct w:val="0"/>
        <w:autoSpaceDE/>
        <w:autoSpaceDN/>
        <w:bidi w:val="0"/>
        <w:snapToGrid/>
        <w:spacing w:line="440" w:lineRule="exact"/>
        <w:ind w:firstLine="420" w:firstLineChars="200"/>
        <w:textAlignment w:val="auto"/>
        <w:rPr>
          <w:rFonts w:hint="eastAsia" w:ascii="宋体" w:hAnsi="宋体"/>
          <w:color w:val="000000"/>
          <w:sz w:val="21"/>
          <w:szCs w:val="21"/>
        </w:rPr>
      </w:pPr>
      <w:r>
        <w:rPr>
          <w:rFonts w:hint="eastAsia" w:ascii="宋体" w:hAnsi="宋体"/>
          <w:color w:val="000000"/>
          <w:kern w:val="0"/>
          <w:sz w:val="21"/>
          <w:szCs w:val="21"/>
          <w:lang w:bidi="ar"/>
        </w:rPr>
        <w:t xml:space="preserve">本标准规定了商品使用的塑料、纸质、木质等包装材料的环保要求。 </w:t>
      </w:r>
    </w:p>
    <w:p>
      <w:pPr>
        <w:keepNext w:val="0"/>
        <w:keepLines w:val="0"/>
        <w:pageBreakBefore w:val="0"/>
        <w:widowControl/>
        <w:kinsoku/>
        <w:wordWrap/>
        <w:overflowPunct/>
        <w:topLinePunct w:val="0"/>
        <w:autoSpaceDE/>
        <w:autoSpaceDN/>
        <w:bidi w:val="0"/>
        <w:snapToGrid/>
        <w:spacing w:line="440" w:lineRule="exact"/>
        <w:textAlignment w:val="auto"/>
        <w:rPr>
          <w:rFonts w:hint="eastAsia" w:ascii="宋体" w:hAnsi="宋体"/>
          <w:color w:val="000000"/>
          <w:sz w:val="21"/>
          <w:szCs w:val="21"/>
        </w:rPr>
      </w:pPr>
      <w:r>
        <w:rPr>
          <w:rFonts w:hint="eastAsia" w:ascii="宋体" w:hAnsi="宋体"/>
          <w:color w:val="000000"/>
          <w:kern w:val="0"/>
          <w:sz w:val="21"/>
          <w:szCs w:val="21"/>
          <w:lang w:bidi="ar"/>
        </w:rPr>
        <w:t xml:space="preserve">    4.2商品包装环保要求 </w:t>
      </w:r>
    </w:p>
    <w:p>
      <w:pPr>
        <w:keepNext w:val="0"/>
        <w:keepLines w:val="0"/>
        <w:pageBreakBefore w:val="0"/>
        <w:widowControl/>
        <w:kinsoku/>
        <w:wordWrap/>
        <w:overflowPunct/>
        <w:topLinePunct w:val="0"/>
        <w:autoSpaceDE/>
        <w:autoSpaceDN/>
        <w:bidi w:val="0"/>
        <w:snapToGrid/>
        <w:spacing w:line="440" w:lineRule="exact"/>
        <w:ind w:firstLine="420" w:firstLineChars="200"/>
        <w:textAlignment w:val="auto"/>
        <w:rPr>
          <w:rFonts w:hint="eastAsia" w:ascii="宋体" w:hAnsi="宋体"/>
          <w:color w:val="000000"/>
          <w:sz w:val="21"/>
          <w:szCs w:val="21"/>
        </w:rPr>
      </w:pPr>
      <w:r>
        <w:rPr>
          <w:rFonts w:hint="eastAsia" w:ascii="宋体" w:hAnsi="宋体"/>
          <w:color w:val="000000"/>
          <w:kern w:val="0"/>
          <w:sz w:val="21"/>
          <w:szCs w:val="21"/>
          <w:lang w:bidi="ar"/>
        </w:rPr>
        <w:t xml:space="preserve">（1）商品包装层数不得超过 3 层，空隙率不大于 40%； </w:t>
      </w:r>
    </w:p>
    <w:p>
      <w:pPr>
        <w:keepNext w:val="0"/>
        <w:keepLines w:val="0"/>
        <w:pageBreakBefore w:val="0"/>
        <w:widowControl/>
        <w:kinsoku/>
        <w:wordWrap/>
        <w:overflowPunct/>
        <w:topLinePunct w:val="0"/>
        <w:autoSpaceDE/>
        <w:autoSpaceDN/>
        <w:bidi w:val="0"/>
        <w:snapToGrid/>
        <w:spacing w:line="440" w:lineRule="exact"/>
        <w:ind w:firstLine="420" w:firstLineChars="200"/>
        <w:textAlignment w:val="auto"/>
        <w:rPr>
          <w:rFonts w:hint="eastAsia" w:ascii="宋体" w:hAnsi="宋体"/>
          <w:color w:val="000000"/>
          <w:sz w:val="21"/>
          <w:szCs w:val="21"/>
        </w:rPr>
      </w:pPr>
      <w:r>
        <w:rPr>
          <w:rFonts w:hint="eastAsia" w:ascii="宋体" w:hAnsi="宋体"/>
          <w:color w:val="000000"/>
          <w:kern w:val="0"/>
          <w:sz w:val="21"/>
          <w:szCs w:val="21"/>
          <w:lang w:bidi="ar"/>
        </w:rPr>
        <w:t xml:space="preserve">（2）商品包装尽可能使用单一材质的包装材料，如因功能需求必需使用不同材质，不同材质间应便于分离； </w:t>
      </w:r>
    </w:p>
    <w:p>
      <w:pPr>
        <w:keepNext w:val="0"/>
        <w:keepLines w:val="0"/>
        <w:pageBreakBefore w:val="0"/>
        <w:widowControl/>
        <w:kinsoku/>
        <w:wordWrap/>
        <w:overflowPunct/>
        <w:topLinePunct w:val="0"/>
        <w:autoSpaceDE/>
        <w:autoSpaceDN/>
        <w:bidi w:val="0"/>
        <w:snapToGrid/>
        <w:spacing w:line="440" w:lineRule="exact"/>
        <w:ind w:firstLine="420" w:firstLineChars="200"/>
        <w:textAlignment w:val="auto"/>
        <w:rPr>
          <w:rFonts w:hint="eastAsia" w:ascii="宋体" w:hAnsi="宋体"/>
          <w:color w:val="000000"/>
          <w:sz w:val="21"/>
          <w:szCs w:val="21"/>
        </w:rPr>
      </w:pPr>
      <w:r>
        <w:rPr>
          <w:rFonts w:hint="eastAsia" w:ascii="宋体" w:hAnsi="宋体"/>
          <w:color w:val="000000"/>
          <w:kern w:val="0"/>
          <w:sz w:val="21"/>
          <w:szCs w:val="21"/>
          <w:lang w:bidi="ar"/>
        </w:rPr>
        <w:t xml:space="preserve">（3）商品包装中铅、汞、镉、六价铬的总含量应不大于100mg/kg； </w:t>
      </w:r>
    </w:p>
    <w:p>
      <w:pPr>
        <w:keepNext w:val="0"/>
        <w:keepLines w:val="0"/>
        <w:pageBreakBefore w:val="0"/>
        <w:widowControl/>
        <w:kinsoku/>
        <w:wordWrap/>
        <w:overflowPunct/>
        <w:topLinePunct w:val="0"/>
        <w:autoSpaceDE/>
        <w:autoSpaceDN/>
        <w:bidi w:val="0"/>
        <w:snapToGrid/>
        <w:spacing w:line="440" w:lineRule="exact"/>
        <w:ind w:firstLine="420" w:firstLineChars="200"/>
        <w:textAlignment w:val="auto"/>
        <w:rPr>
          <w:rFonts w:hint="eastAsia" w:ascii="宋体" w:hAnsi="宋体"/>
          <w:sz w:val="21"/>
          <w:szCs w:val="21"/>
        </w:rPr>
      </w:pPr>
      <w:r>
        <w:rPr>
          <w:rFonts w:hint="eastAsia" w:ascii="宋体" w:hAnsi="宋体"/>
          <w:kern w:val="0"/>
          <w:sz w:val="21"/>
          <w:szCs w:val="21"/>
          <w:lang w:bidi="ar"/>
        </w:rPr>
        <w:t xml:space="preserve">（4）商品包装印刷使用的油墨中挥发性有机化合物(VOCs)含量应不大于 5%（以重量计）； </w:t>
      </w:r>
    </w:p>
    <w:p>
      <w:pPr>
        <w:keepNext w:val="0"/>
        <w:keepLines w:val="0"/>
        <w:pageBreakBefore w:val="0"/>
        <w:widowControl/>
        <w:kinsoku/>
        <w:wordWrap/>
        <w:overflowPunct/>
        <w:topLinePunct w:val="0"/>
        <w:autoSpaceDE/>
        <w:autoSpaceDN/>
        <w:bidi w:val="0"/>
        <w:snapToGrid/>
        <w:spacing w:line="440" w:lineRule="exact"/>
        <w:ind w:firstLine="420" w:firstLineChars="200"/>
        <w:textAlignment w:val="auto"/>
        <w:rPr>
          <w:rFonts w:hint="eastAsia" w:ascii="宋体" w:hAnsi="宋体"/>
          <w:sz w:val="21"/>
          <w:szCs w:val="21"/>
        </w:rPr>
      </w:pPr>
      <w:r>
        <w:rPr>
          <w:rFonts w:hint="eastAsia" w:ascii="宋体" w:hAnsi="宋体"/>
          <w:kern w:val="0"/>
          <w:sz w:val="21"/>
          <w:szCs w:val="21"/>
          <w:lang w:bidi="ar"/>
        </w:rPr>
        <w:t xml:space="preserve">（5）塑料材质商品包装上呈现的印刷颜色不得超过6色； </w:t>
      </w:r>
    </w:p>
    <w:p>
      <w:pPr>
        <w:keepNext w:val="0"/>
        <w:keepLines w:val="0"/>
        <w:pageBreakBefore w:val="0"/>
        <w:widowControl/>
        <w:kinsoku/>
        <w:wordWrap/>
        <w:overflowPunct/>
        <w:topLinePunct w:val="0"/>
        <w:autoSpaceDE/>
        <w:autoSpaceDN/>
        <w:bidi w:val="0"/>
        <w:snapToGrid/>
        <w:spacing w:line="440" w:lineRule="exact"/>
        <w:ind w:firstLine="420" w:firstLineChars="200"/>
        <w:textAlignment w:val="auto"/>
        <w:rPr>
          <w:rFonts w:hint="eastAsia" w:ascii="宋体" w:hAnsi="宋体"/>
          <w:sz w:val="21"/>
          <w:szCs w:val="21"/>
        </w:rPr>
      </w:pPr>
      <w:r>
        <w:rPr>
          <w:rFonts w:hint="eastAsia" w:ascii="宋体" w:hAnsi="宋体"/>
          <w:kern w:val="0"/>
          <w:sz w:val="21"/>
          <w:szCs w:val="21"/>
          <w:lang w:bidi="ar"/>
        </w:rPr>
        <w:t xml:space="preserve">（6）纸质商品包装应使用75%以上的可再生纤维原料生产； </w:t>
      </w:r>
    </w:p>
    <w:p>
      <w:pPr>
        <w:keepNext w:val="0"/>
        <w:keepLines w:val="0"/>
        <w:pageBreakBefore w:val="0"/>
        <w:widowControl/>
        <w:kinsoku/>
        <w:wordWrap/>
        <w:overflowPunct/>
        <w:topLinePunct w:val="0"/>
        <w:autoSpaceDE/>
        <w:autoSpaceDN/>
        <w:bidi w:val="0"/>
        <w:snapToGrid/>
        <w:spacing w:line="440" w:lineRule="exact"/>
        <w:ind w:firstLine="420" w:firstLineChars="200"/>
        <w:textAlignment w:val="auto"/>
      </w:pPr>
      <w:r>
        <w:rPr>
          <w:rFonts w:hint="eastAsia" w:ascii="宋体" w:hAnsi="宋体"/>
          <w:kern w:val="0"/>
          <w:sz w:val="21"/>
          <w:szCs w:val="21"/>
          <w:lang w:bidi="ar"/>
        </w:rPr>
        <w:t xml:space="preserve">（7）木质商品包装的原料应来源于可持续性森林。 </w:t>
      </w:r>
    </w:p>
    <w:p>
      <w:pPr>
        <w:keepNext w:val="0"/>
        <w:keepLines w:val="0"/>
        <w:pageBreakBefore w:val="0"/>
        <w:widowControl/>
        <w:kinsoku/>
        <w:wordWrap/>
        <w:overflowPunct/>
        <w:topLinePunct w:val="0"/>
        <w:autoSpaceDE/>
        <w:autoSpaceDN/>
        <w:bidi w:val="0"/>
        <w:adjustRightInd w:val="0"/>
        <w:snapToGrid/>
        <w:spacing w:line="440" w:lineRule="exact"/>
        <w:textAlignment w:val="auto"/>
        <w:rPr>
          <w:rFonts w:hint="eastAsia" w:ascii="宋体" w:hAnsi="宋体"/>
          <w:b/>
          <w:kern w:val="0"/>
          <w:sz w:val="21"/>
          <w:szCs w:val="21"/>
        </w:rPr>
      </w:pPr>
      <w:r>
        <w:rPr>
          <w:rFonts w:hint="eastAsia" w:ascii="宋体" w:hAnsi="宋体"/>
          <w:b/>
          <w:kern w:val="0"/>
          <w:sz w:val="21"/>
          <w:szCs w:val="21"/>
        </w:rPr>
        <w:t xml:space="preserve">二、商务要求： </w:t>
      </w:r>
    </w:p>
    <w:p>
      <w:pPr>
        <w:keepNext w:val="0"/>
        <w:keepLines w:val="0"/>
        <w:pageBreakBefore w:val="0"/>
        <w:numPr>
          <w:ilvl w:val="2"/>
          <w:numId w:val="2"/>
        </w:numPr>
        <w:kinsoku/>
        <w:wordWrap/>
        <w:overflowPunct/>
        <w:topLinePunct w:val="0"/>
        <w:autoSpaceDE/>
        <w:autoSpaceDN/>
        <w:bidi w:val="0"/>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合同履行期限：</w:t>
      </w:r>
      <w:r>
        <w:rPr>
          <w:rFonts w:hint="eastAsia" w:ascii="宋体" w:hAnsi="宋体"/>
          <w:sz w:val="21"/>
          <w:szCs w:val="21"/>
          <w:highlight w:val="none"/>
          <w:lang w:val="en-US" w:eastAsia="zh-CN"/>
        </w:rPr>
        <w:t>90</w:t>
      </w:r>
      <w:r>
        <w:rPr>
          <w:rFonts w:hint="eastAsia" w:ascii="宋体" w:hAnsi="宋体"/>
          <w:sz w:val="21"/>
          <w:szCs w:val="21"/>
          <w:highlight w:val="none"/>
        </w:rPr>
        <w:t xml:space="preserve">日历天  </w:t>
      </w:r>
    </w:p>
    <w:p>
      <w:pPr>
        <w:keepNext w:val="0"/>
        <w:keepLines w:val="0"/>
        <w:pageBreakBefore w:val="0"/>
        <w:numPr>
          <w:ilvl w:val="2"/>
          <w:numId w:val="2"/>
        </w:numPr>
        <w:kinsoku/>
        <w:wordWrap/>
        <w:overflowPunct/>
        <w:topLinePunct w:val="0"/>
        <w:autoSpaceDE/>
        <w:autoSpaceDN/>
        <w:bidi w:val="0"/>
        <w:snapToGrid/>
        <w:spacing w:line="440" w:lineRule="exact"/>
        <w:ind w:firstLine="420" w:firstLineChars="200"/>
        <w:textAlignment w:val="auto"/>
        <w:rPr>
          <w:rFonts w:hint="eastAsia" w:ascii="宋体" w:hAnsi="宋体"/>
          <w:sz w:val="21"/>
          <w:szCs w:val="21"/>
        </w:rPr>
      </w:pPr>
      <w:r>
        <w:rPr>
          <w:rFonts w:hint="eastAsia" w:ascii="宋体" w:hAnsi="宋体"/>
          <w:sz w:val="21"/>
          <w:szCs w:val="21"/>
        </w:rPr>
        <w:t>供货安装地点：武陟县区域内</w:t>
      </w:r>
    </w:p>
    <w:p>
      <w:pPr>
        <w:keepNext w:val="0"/>
        <w:keepLines w:val="0"/>
        <w:pageBreakBefore w:val="0"/>
        <w:numPr>
          <w:ilvl w:val="2"/>
          <w:numId w:val="2"/>
        </w:numPr>
        <w:kinsoku/>
        <w:wordWrap/>
        <w:overflowPunct/>
        <w:topLinePunct w:val="0"/>
        <w:autoSpaceDE/>
        <w:autoSpaceDN/>
        <w:bidi w:val="0"/>
        <w:snapToGrid/>
        <w:spacing w:line="440" w:lineRule="exact"/>
        <w:ind w:firstLine="420" w:firstLineChars="200"/>
        <w:textAlignment w:val="auto"/>
        <w:rPr>
          <w:rFonts w:hint="eastAsia" w:ascii="宋体" w:hAnsi="宋体"/>
          <w:sz w:val="21"/>
          <w:szCs w:val="21"/>
        </w:rPr>
      </w:pPr>
      <w:r>
        <w:rPr>
          <w:rFonts w:hint="eastAsia" w:ascii="宋体" w:hAnsi="宋体"/>
          <w:sz w:val="21"/>
          <w:szCs w:val="21"/>
        </w:rPr>
        <w:t>质量标准：</w:t>
      </w:r>
      <w:r>
        <w:rPr>
          <w:rFonts w:hint="eastAsia" w:ascii="宋体" w:hAnsi="宋体"/>
          <w:sz w:val="21"/>
          <w:szCs w:val="21"/>
          <w:lang w:eastAsia="zh-CN"/>
        </w:rPr>
        <w:t>合格，</w:t>
      </w:r>
      <w:r>
        <w:rPr>
          <w:rFonts w:hint="eastAsia" w:ascii="宋体" w:hAnsi="宋体"/>
          <w:sz w:val="21"/>
          <w:szCs w:val="21"/>
        </w:rPr>
        <w:t>符合国家及行业相关标准。</w:t>
      </w:r>
    </w:p>
    <w:p>
      <w:pPr>
        <w:keepNext w:val="0"/>
        <w:keepLines w:val="0"/>
        <w:pageBreakBefore w:val="0"/>
        <w:numPr>
          <w:ilvl w:val="2"/>
          <w:numId w:val="2"/>
        </w:numPr>
        <w:kinsoku/>
        <w:wordWrap/>
        <w:overflowPunct/>
        <w:topLinePunct w:val="0"/>
        <w:autoSpaceDE/>
        <w:autoSpaceDN/>
        <w:bidi w:val="0"/>
        <w:snapToGrid/>
        <w:spacing w:line="440" w:lineRule="exact"/>
        <w:ind w:firstLine="420" w:firstLineChars="200"/>
        <w:textAlignment w:val="auto"/>
        <w:rPr>
          <w:rFonts w:hint="eastAsia" w:ascii="宋体" w:hAnsi="宋体"/>
          <w:sz w:val="21"/>
          <w:szCs w:val="21"/>
        </w:rPr>
      </w:pPr>
      <w:r>
        <w:rPr>
          <w:rFonts w:hint="eastAsia" w:ascii="宋体" w:hAnsi="宋体"/>
          <w:sz w:val="21"/>
          <w:szCs w:val="21"/>
        </w:rPr>
        <w:t>质量保证期：</w:t>
      </w:r>
      <w:r>
        <w:rPr>
          <w:rFonts w:hint="eastAsia" w:ascii="宋体" w:hAnsi="宋体"/>
          <w:sz w:val="21"/>
          <w:szCs w:val="21"/>
          <w:highlight w:val="none"/>
          <w:lang w:eastAsia="zh-CN"/>
        </w:rPr>
        <w:t>两</w:t>
      </w:r>
      <w:r>
        <w:rPr>
          <w:rFonts w:hint="eastAsia" w:ascii="宋体" w:hAnsi="宋体"/>
          <w:sz w:val="21"/>
          <w:szCs w:val="21"/>
          <w:highlight w:val="none"/>
        </w:rPr>
        <w:t>年</w:t>
      </w:r>
    </w:p>
    <w:p>
      <w:pPr>
        <w:keepNext w:val="0"/>
        <w:keepLines w:val="0"/>
        <w:pageBreakBefore w:val="0"/>
        <w:numPr>
          <w:ilvl w:val="2"/>
          <w:numId w:val="2"/>
        </w:numPr>
        <w:kinsoku/>
        <w:wordWrap/>
        <w:overflowPunct/>
        <w:topLinePunct w:val="0"/>
        <w:autoSpaceDE/>
        <w:autoSpaceDN/>
        <w:bidi w:val="0"/>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付款方式：根据适老化改造内容、设施设备的安装和维护等进行据实结算。中标机构完成适老化改造并通过验收评估后，向</w:t>
      </w:r>
      <w:r>
        <w:rPr>
          <w:rFonts w:hint="eastAsia" w:ascii="宋体" w:hAnsi="宋体"/>
          <w:sz w:val="21"/>
          <w:szCs w:val="21"/>
          <w:highlight w:val="none"/>
          <w:lang w:eastAsia="zh-CN"/>
        </w:rPr>
        <w:t>县</w:t>
      </w:r>
      <w:r>
        <w:rPr>
          <w:rFonts w:hint="eastAsia" w:ascii="宋体" w:hAnsi="宋体"/>
          <w:sz w:val="21"/>
          <w:szCs w:val="21"/>
          <w:highlight w:val="none"/>
        </w:rPr>
        <w:t>民政局递交申请，并提供每户实施对象的服务协议、建设投入清单和凭证等材料，</w:t>
      </w:r>
      <w:r>
        <w:rPr>
          <w:rFonts w:hint="eastAsia" w:ascii="宋体" w:hAnsi="宋体"/>
          <w:sz w:val="21"/>
          <w:szCs w:val="21"/>
          <w:highlight w:val="none"/>
          <w:lang w:eastAsia="zh-CN"/>
        </w:rPr>
        <w:t>县</w:t>
      </w:r>
      <w:r>
        <w:rPr>
          <w:rFonts w:hint="eastAsia" w:ascii="宋体" w:hAnsi="宋体"/>
          <w:sz w:val="21"/>
          <w:szCs w:val="21"/>
          <w:highlight w:val="none"/>
        </w:rPr>
        <w:t>民政局审核通过后给予50%的改造补助，验收之日起满3个月后，</w:t>
      </w:r>
      <w:r>
        <w:rPr>
          <w:rFonts w:hint="eastAsia" w:ascii="宋体" w:hAnsi="宋体"/>
          <w:sz w:val="21"/>
          <w:szCs w:val="21"/>
          <w:highlight w:val="none"/>
          <w:lang w:eastAsia="zh-CN"/>
        </w:rPr>
        <w:t>县</w:t>
      </w:r>
      <w:r>
        <w:rPr>
          <w:rFonts w:hint="eastAsia" w:ascii="宋体" w:hAnsi="宋体"/>
          <w:sz w:val="21"/>
          <w:szCs w:val="21"/>
          <w:highlight w:val="none"/>
        </w:rPr>
        <w:t>民政局给予剩余50%改造补助。</w:t>
      </w:r>
    </w:p>
    <w:p>
      <w:pPr>
        <w:keepNext w:val="0"/>
        <w:keepLines w:val="0"/>
        <w:pageBreakBefore w:val="0"/>
        <w:widowControl/>
        <w:numPr>
          <w:ilvl w:val="0"/>
          <w:numId w:val="0"/>
        </w:numPr>
        <w:kinsoku/>
        <w:wordWrap/>
        <w:overflowPunct/>
        <w:topLinePunct w:val="0"/>
        <w:autoSpaceDE/>
        <w:autoSpaceDN/>
        <w:bidi w:val="0"/>
        <w:adjustRightInd w:val="0"/>
        <w:snapToGrid/>
        <w:spacing w:line="440" w:lineRule="exact"/>
        <w:ind w:leftChars="0"/>
        <w:textAlignment w:val="auto"/>
        <w:rPr>
          <w:rFonts w:hint="eastAsia" w:ascii="宋体" w:hAnsi="宋体" w:eastAsia="宋体"/>
          <w:b/>
          <w:kern w:val="0"/>
          <w:sz w:val="21"/>
          <w:szCs w:val="21"/>
          <w:lang w:eastAsia="zh-CN"/>
        </w:rPr>
      </w:pPr>
      <w:r>
        <w:rPr>
          <w:rFonts w:hint="eastAsia" w:ascii="宋体" w:hAnsi="宋体"/>
          <w:b/>
          <w:kern w:val="0"/>
          <w:sz w:val="21"/>
          <w:szCs w:val="21"/>
          <w:lang w:eastAsia="zh-CN"/>
        </w:rPr>
        <w:t>三、</w:t>
      </w:r>
      <w:r>
        <w:rPr>
          <w:rFonts w:hint="eastAsia" w:ascii="宋体" w:hAnsi="宋体"/>
          <w:b/>
          <w:kern w:val="0"/>
          <w:sz w:val="21"/>
          <w:szCs w:val="21"/>
        </w:rPr>
        <w:t>采购内容</w:t>
      </w:r>
      <w:r>
        <w:rPr>
          <w:rFonts w:hint="eastAsia" w:ascii="宋体" w:hAnsi="宋体"/>
          <w:b/>
          <w:kern w:val="0"/>
          <w:sz w:val="21"/>
          <w:szCs w:val="21"/>
          <w:lang w:eastAsia="zh-CN"/>
        </w:rPr>
        <w:t>及技术要求</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为进一步完善我县居家养老服务体系，提升老年人居家生活品质和生活自理能力，根据《国务院办公厅关于推进养老服务发展的意见》（国办发〔2019〕5号）、《民政部 国家发展改革委 财政部 住房和城乡建设部 国家卫生健康委 银保监会 国务院扶贫办 中国残联 全国老龄办关于加快实施老年人居家适老化改造工程的指导意见》（民发〔2020〕86号）、《河南省民政厅加快推进养老服务重点任务落实的通知》（豫民文〔2021〕124号）、《河南省家庭养老床位试点建设工作指导意见》《焦作市老年人家庭适老化改造工作方案》等文件要求，通过改善老年人的居家生活环境，降低在家庭发生意外的风险，同时通过提供居家照护服务，破解老年人居家养老难题，增强老年人居家生活的安全性和便利性，提升老年人的幸福感、获得感、安全感。</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1.服务对象</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本次适老化改造数量为</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00户，家庭适老化改造的老年人，应为60周岁以上，在我县行政区域内居住，具有武陟县户籍或常住武陟辖区，对所改造的房屋拥有产权或长期居住权，且具备下列条件之一：1.城乡特困老年人家庭；2.低保老年人家庭；3.低收入老年人家庭；4.计划生育特别扶助对象老年人家庭；5.年满80周岁高龄老年人家庭；6.特殊贡献等老年人家庭。</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凡是已列入政府征收、拆迁计划范围和不具备改造条件的危房，以及已享受过残疾人无障碍设施进家庭工程的，不再纳入本次实施范围。</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2.补贴标准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eastAsia="zh-CN"/>
        </w:rPr>
        <w:t>本次家庭适老化改造政府补助最高标准为2000元/户（包括上门评估、产品设备、工程施工、售后服务等费用），改造低于2000元/户标准的家庭据实结算；超过2000元/户标准的，超过部分由改造家庭自负。</w:t>
      </w:r>
    </w:p>
    <w:p>
      <w:pPr>
        <w:keepNext w:val="0"/>
        <w:keepLines w:val="0"/>
        <w:pageBreakBefore w:val="0"/>
        <w:widowControl w:val="0"/>
        <w:kinsoku/>
        <w:wordWrap/>
        <w:overflowPunct/>
        <w:topLinePunct w:val="0"/>
        <w:autoSpaceDE/>
        <w:autoSpaceDN/>
        <w:bidi w:val="0"/>
        <w:adjustRightInd/>
        <w:snapToGrid/>
        <w:spacing w:line="440" w:lineRule="exact"/>
        <w:ind w:firstLine="422" w:firstLineChars="200"/>
        <w:rPr>
          <w:rFonts w:hint="eastAsia" w:ascii="宋体" w:hAnsi="宋体" w:eastAsia="宋体" w:cs="宋体"/>
          <w:b/>
          <w:bCs/>
          <w:color w:val="auto"/>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color w:val="auto"/>
          <w:sz w:val="21"/>
          <w:szCs w:val="21"/>
        </w:rPr>
        <w:t>适老化改造项目内容</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根据老年人照护需求和居住空间条件，对老年人居家环境进行必要的适老化改造。</w:t>
      </w:r>
      <w:r>
        <w:rPr>
          <w:rFonts w:hint="eastAsia" w:ascii="宋体" w:hAnsi="宋体" w:eastAsia="宋体" w:cs="宋体"/>
          <w:color w:val="000000"/>
          <w:sz w:val="21"/>
          <w:szCs w:val="21"/>
          <w:lang w:eastAsia="zh-CN"/>
        </w:rPr>
        <w:t>改造项目分为基础类和可选类，其中基础类项目是政府予以补助支持的改造项目及老年用品，是改造及设备配置的基本内容，可选类项目是根据老年人家庭意愿，由家庭自付、政府适当补贴的适老化改造项目及老年用品，</w:t>
      </w:r>
      <w:r>
        <w:rPr>
          <w:rFonts w:hint="eastAsia" w:ascii="宋体" w:hAnsi="宋体" w:eastAsia="宋体" w:cs="宋体"/>
          <w:color w:val="auto"/>
          <w:sz w:val="21"/>
          <w:szCs w:val="21"/>
        </w:rPr>
        <w:t>改造范围主要包括室内地面、墙体、居室、卫生间等。重点满足助行、助力、助浴、助洁、防滑等需求，具体项目需求清单如下：</w:t>
      </w:r>
    </w:p>
    <w:p>
      <w:pPr>
        <w:pStyle w:val="9"/>
        <w:keepNext w:val="0"/>
        <w:keepLines w:val="0"/>
        <w:pageBreakBefore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eastAsia="zh-CN"/>
        </w:rPr>
        <w:t>（</w:t>
      </w:r>
      <w:r>
        <w:rPr>
          <w:rFonts w:hint="eastAsia" w:ascii="宋体" w:hAnsi="宋体" w:cs="宋体"/>
          <w:color w:val="000000"/>
          <w:sz w:val="21"/>
          <w:szCs w:val="21"/>
          <w:highlight w:val="none"/>
          <w:lang w:val="en-US" w:eastAsia="zh-CN"/>
        </w:rPr>
        <w:t>1</w:t>
      </w:r>
      <w:r>
        <w:rPr>
          <w:rFonts w:hint="eastAsia" w:ascii="宋体" w:hAnsi="宋体" w:cs="宋体"/>
          <w:color w:val="000000"/>
          <w:sz w:val="21"/>
          <w:szCs w:val="21"/>
          <w:highlight w:val="none"/>
          <w:lang w:eastAsia="zh-CN"/>
        </w:rPr>
        <w:t>）</w:t>
      </w:r>
      <w:r>
        <w:rPr>
          <w:rFonts w:hint="eastAsia" w:ascii="宋体" w:hAnsi="宋体" w:eastAsia="宋体" w:cs="宋体"/>
          <w:color w:val="000000"/>
          <w:sz w:val="21"/>
          <w:szCs w:val="21"/>
          <w:highlight w:val="none"/>
        </w:rPr>
        <w:t>本项目的核心产品为：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上翻U型扶手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（核心产品仅适用于本项目同一品牌的认定，同一品牌的认定详见投标人须知）</w:t>
      </w:r>
    </w:p>
    <w:p>
      <w:pPr>
        <w:pStyle w:val="9"/>
        <w:keepNext w:val="0"/>
        <w:keepLines w:val="0"/>
        <w:pageBreakBefore w:val="0"/>
        <w:numPr>
          <w:ilvl w:val="0"/>
          <w:numId w:val="0"/>
        </w:numPr>
        <w:kinsoku/>
        <w:wordWrap/>
        <w:overflowPunct/>
        <w:topLinePunct w:val="0"/>
        <w:autoSpaceDE/>
        <w:autoSpaceDN/>
        <w:bidi w:val="0"/>
        <w:adjustRightInd/>
        <w:snapToGrid/>
        <w:spacing w:line="500" w:lineRule="exact"/>
        <w:ind w:firstLine="211" w:firstLineChars="100"/>
        <w:textAlignment w:val="auto"/>
        <w:rPr>
          <w:rFonts w:hint="eastAsia" w:ascii="宋体" w:hAnsi="宋体" w:cs="宋体"/>
          <w:b/>
          <w:bCs/>
          <w:sz w:val="21"/>
          <w:szCs w:val="21"/>
          <w:highlight w:val="none"/>
          <w:lang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2</w:t>
      </w:r>
      <w:r>
        <w:rPr>
          <w:rFonts w:hint="eastAsia" w:ascii="宋体" w:hAnsi="宋体" w:cs="宋体"/>
          <w:b/>
          <w:bCs/>
          <w:sz w:val="21"/>
          <w:szCs w:val="21"/>
          <w:highlight w:val="none"/>
          <w:lang w:eastAsia="zh-CN"/>
        </w:rPr>
        <w:t>）技术要求</w:t>
      </w:r>
    </w:p>
    <w:p>
      <w:pPr>
        <w:pStyle w:val="9"/>
        <w:numPr>
          <w:ilvl w:val="0"/>
          <w:numId w:val="0"/>
        </w:numPr>
        <w:ind w:firstLine="211" w:firstLineChars="100"/>
        <w:rPr>
          <w:rFonts w:hint="eastAsia" w:ascii="宋体" w:hAnsi="宋体" w:cs="宋体"/>
          <w:b/>
          <w:bCs/>
          <w:sz w:val="21"/>
          <w:szCs w:val="21"/>
          <w:highlight w:val="none"/>
          <w:lang w:eastAsia="zh-CN"/>
        </w:rPr>
      </w:pPr>
    </w:p>
    <w:p>
      <w:pPr>
        <w:pStyle w:val="9"/>
        <w:numPr>
          <w:ilvl w:val="0"/>
          <w:numId w:val="0"/>
        </w:numPr>
        <w:ind w:firstLine="211" w:firstLineChars="100"/>
        <w:rPr>
          <w:rFonts w:hint="eastAsia" w:ascii="宋体" w:hAnsi="宋体" w:cs="宋体"/>
          <w:b/>
          <w:bCs/>
          <w:sz w:val="21"/>
          <w:szCs w:val="21"/>
          <w:highlight w:val="none"/>
          <w:lang w:eastAsia="zh-CN"/>
        </w:rPr>
      </w:pPr>
    </w:p>
    <w:tbl>
      <w:tblPr>
        <w:tblStyle w:val="7"/>
        <w:tblW w:w="9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
        <w:gridCol w:w="825"/>
        <w:gridCol w:w="1135"/>
        <w:gridCol w:w="3275"/>
        <w:gridCol w:w="625"/>
        <w:gridCol w:w="663"/>
        <w:gridCol w:w="759"/>
        <w:gridCol w:w="713"/>
        <w:gridCol w:w="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类别</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lang w:eastAsia="zh-CN"/>
              </w:rPr>
              <w:t>标的</w:t>
            </w:r>
            <w:r>
              <w:rPr>
                <w:rFonts w:hint="eastAsia" w:ascii="宋体" w:hAnsi="宋体" w:eastAsia="宋体" w:cs="宋体"/>
                <w:b/>
                <w:bCs/>
                <w:sz w:val="21"/>
                <w:szCs w:val="21"/>
              </w:rPr>
              <w:t>名称</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规格参数</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数量</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单位</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最高限价</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（元）</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项目类型</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82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（一）</w:t>
            </w:r>
            <w:r>
              <w:rPr>
                <w:rFonts w:hint="eastAsia" w:ascii="宋体" w:hAnsi="宋体" w:eastAsia="宋体" w:cs="宋体"/>
                <w:sz w:val="21"/>
                <w:szCs w:val="21"/>
              </w:rPr>
              <w:br w:type="textWrapping"/>
            </w:r>
            <w:r>
              <w:rPr>
                <w:rFonts w:hint="eastAsia" w:ascii="宋体" w:hAnsi="宋体" w:eastAsia="宋体" w:cs="宋体"/>
                <w:sz w:val="21"/>
                <w:szCs w:val="21"/>
              </w:rPr>
              <w:t>地面改造</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防滑地垫</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在卫生间、厨房、卧室等区域，铺设防滑地垫，避免老年人滑倒。PVC材质，约300*300mm。</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168</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防滑地胶</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在卫生间、厨房、卧室等区域，铺设防滑地胶，避免老年人滑倒。聚氯乙烯，PVC环保材料，抗菌防霉易清洗</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168</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可移动式坡道</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保证路面平滑、无高差障碍，避免老年人行走发生磕碰跌倒，方便轮椅进出。</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尺寸：高100-200mm</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宽度：800mm  </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长度：500mm</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1、材质：橡胶；</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2、天然橡胶材质，耐水防滑、承重力不低于500kg；</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3、产品稳定性高，长期使用不变形；</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4、表面凹凸条纹防滑设计，防滑性强。</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340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4</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可移动式坡道</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保证路面平滑、无高差障碍，避免老年人行走发生磕 碰跌倒，方便轮椅进出。</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尺寸：（三种可选）</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100*25*4cm, 100*25*5cm,100*25*6cm</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1、材质：橡塑；</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2、耐水防滑、承重力不低于500kg；</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3、产品稳定性高，长期使用不变形；</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4、表面凹凸条纹防滑设计，防滑性强。</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132</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5</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可移动式坡道</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保证路面平滑、无高差障碍，避免老年人行走发生磕 碰跌倒，方便轮椅进出。</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尺寸：（两种可选）</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100*30*7cm, 100*30*8cm</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1、材质：橡塑；</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2、耐水防滑、承重力不低于500kg；</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3、产品稳定性高，长期使用不变形；</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4、表面凹凸条纹防滑设计，防滑性强。</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176</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6</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可移动式坡道</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保证路面平滑、无高差障碍，避免老年人行走发生磕 碰跌倒，方便轮椅进出。</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尺寸：（三种可选）</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100*5*1cm, 100*8*2cm,100*10*3cm</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1、材质：橡胶；</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2、耐水、承重力不低于500kg；</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3、产品稳定性高，长期使用不变形；</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4、表面光面设计。</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150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453" w:type="dxa"/>
            <w:vMerge w:val="restart"/>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7</w:t>
            </w:r>
          </w:p>
        </w:tc>
        <w:tc>
          <w:tcPr>
            <w:tcW w:w="82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r>
              <w:rPr>
                <w:rFonts w:hint="eastAsia" w:ascii="宋体" w:hAnsi="宋体" w:eastAsia="宋体" w:cs="宋体"/>
                <w:sz w:val="21"/>
                <w:szCs w:val="21"/>
              </w:rPr>
              <w:t>（二）</w:t>
            </w:r>
          </w:p>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r>
              <w:rPr>
                <w:rFonts w:hint="eastAsia" w:ascii="宋体" w:hAnsi="宋体" w:eastAsia="宋体" w:cs="宋体"/>
                <w:sz w:val="21"/>
                <w:szCs w:val="21"/>
              </w:rPr>
              <w:t>卧室改造</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床边护栏1</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尺寸：约470*500*570mm,扶手架为高碳钢，底座为扁铝。扶手架180折叠,配储物袋。</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300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53" w:type="dxa"/>
            <w:vMerge w:val="continue"/>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床边护栏2</w:t>
            </w:r>
          </w:p>
        </w:tc>
        <w:tc>
          <w:tcPr>
            <w:tcW w:w="3275" w:type="dxa"/>
            <w:noWrap w:val="0"/>
            <w:vAlign w:val="center"/>
          </w:tcPr>
          <w:p>
            <w:pPr>
              <w:keepNext w:val="0"/>
              <w:keepLines w:val="0"/>
              <w:pageBreakBefore w:val="0"/>
              <w:widowControl w:val="0"/>
              <w:tabs>
                <w:tab w:val="left" w:pos="2748"/>
              </w:tabs>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1、底座：表面烤漆，厚度不低于3mm。</w:t>
            </w:r>
          </w:p>
          <w:p>
            <w:pPr>
              <w:keepNext w:val="0"/>
              <w:keepLines w:val="0"/>
              <w:pageBreakBefore w:val="0"/>
              <w:widowControl w:val="0"/>
              <w:tabs>
                <w:tab w:val="left" w:pos="2748"/>
              </w:tabs>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2、不锈钢扶手,不锈钢内衬,外面套管为ABS材质。表面防滑设计。 </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 xml:space="preserve"> 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860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8</w:t>
            </w:r>
          </w:p>
        </w:tc>
        <w:tc>
          <w:tcPr>
            <w:tcW w:w="82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（三）                   如厕洗浴设备改造</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一字扶手</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1.材质：不锈钢龙骨、不锈钢底座。</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2.外层材料：ABS或者尼龙原装环保材料，防滑处理。 </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3.颜色：黄色/白色可选 </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137</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9</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上翻U型扶手</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1.材质：不锈钢龙骨、不锈钢底座。</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2.外层材料：ABS或者尼龙原装环保材料，防滑处理。 </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3.颜色：黄色/白色可选    </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350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10</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淋浴L型扶手</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1.材质：不锈钢龙骨、不锈钢底座。</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2.外层材料：ABS或者尼龙原装环保材料，防滑处理。 </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3.颜色：黄色/白色可选  </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210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11</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淋浴T型扶手</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1.材质：不锈钢龙骨、不锈钢底座。</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2.外层材料：ABS或者尼龙原装环保材料，防滑处理。 </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3.颜色：黄色/白色可选                          </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225</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12</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135°扶手</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1.材质：不锈钢龙骨、不锈钢底座。</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2.外层材料：ABS或者尼龙原装环保材料，防滑处理。 </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3.颜色：黄色/白色可选                               </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200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13</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助浴椅</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带靠背，带扶手，可以调节高低</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铝合金管材主架，坐板和靠背板采用PE材料，坐板表面设计有漏水孔和防滑纹。四只脚腿高度5档可调节，脚底配用橡胶防滑脚垫。</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300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14</w:t>
            </w:r>
          </w:p>
        </w:tc>
        <w:tc>
          <w:tcPr>
            <w:tcW w:w="82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r>
              <w:rPr>
                <w:rFonts w:hint="eastAsia" w:ascii="宋体" w:hAnsi="宋体" w:eastAsia="宋体" w:cs="宋体"/>
                <w:sz w:val="21"/>
                <w:szCs w:val="21"/>
              </w:rPr>
              <w:t>（四）物理环境改造</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自动感应</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小夜灯</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人体感应灯，工作电流：30MA;</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电池类型：锂充电电池；</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感应距离：不低于3米</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 xml:space="preserve">55 </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15</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防撞护角</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在家具尖角或墙角处安装防护条，防止老年人磕碰划伤。NBR材质，35mm宽12mm厚55mm</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5</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16</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防撞条</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在家具尖角或墙角处安装防护角，防止老年人磕碰划伤。材质：优质环保软塑胶PVC，防水防晒防抠破，安装简便无需打孔，安全耐用，结实不易变形。规格：外宽40mm*40mm厚9mm</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米</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40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17</w:t>
            </w:r>
          </w:p>
        </w:tc>
        <w:tc>
          <w:tcPr>
            <w:tcW w:w="82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r>
              <w:rPr>
                <w:rFonts w:hint="eastAsia" w:ascii="宋体" w:hAnsi="宋体" w:eastAsia="宋体" w:cs="宋体"/>
                <w:sz w:val="21"/>
                <w:szCs w:val="21"/>
              </w:rPr>
              <w:t>（五）老年用品配置</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三脚手杖</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三脚手杖：主架上支铝合金管，下支钢质管，脚架钢质管，塑料手把，高度可调，配耐橡胶防滑脚垫。</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105</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18</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四脚手杖</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四脚手杖：主架上支铝合金管，下支钢质管，脚架钢质管，四支脚着地结构，配橡胶防滑脚垫，高度可调节。</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110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19</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轮椅</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手动轮椅，自推或由家人、护理人员辅助推行，方便老年人出行。钢制或铝合金车架，固定扶手，固定脚托，PVC一体轮，实心后轮，带刹车和护板，自锁式后把手连刹车。</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台</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800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20</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框式助行器</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铝合金架，框式梯型，可折叠，高度可调节。辅助老年人站立和行走。</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270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21</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放大镜</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方便老年人阅读。材质：高品质光学镜片、树脂。带LED灯，加强光线，便于清晰阅读，倍数：不低于3倍。</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50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22</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弯柄勺</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辅助老年人用餐。材质：不锈钢/聚丙烯柄，耐热≥130度，金属勺柄部分可按手型自由弯曲。</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185</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23</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弯柄叉</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辅助老年人用餐。材质：不锈钢/聚丙烯柄，耐热≥130度，金属勺柄部分可按手型自由弯曲。</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185</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24</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防洒碗（盘）</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辅助老年人用餐。材质∶聚丙烯，耐热≥140度，内侧倒角方便勺子取食，底部有四个防滑撑脚，方便单手进食。微波炉、洗碗机可用。</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200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25</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防走失手环</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4G手环。健康监测（血压、心率、血氧、睡眠、运动），极速定位，一键呼救（SOS），双向通话，运动计步，行动轨迹。</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 xml:space="preserve">400 </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26</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防走失胸卡</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按键：机械按键</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网络制式：4G全网通+移动2G</w:t>
            </w:r>
          </w:p>
          <w:p>
            <w:pPr>
              <w:keepNext w:val="0"/>
              <w:keepLines w:val="0"/>
              <w:pageBreakBefore w:val="0"/>
              <w:widowControl w:val="0"/>
              <w:kinsoku/>
              <w:wordWrap/>
              <w:overflowPunct/>
              <w:topLinePunct w:val="0"/>
              <w:autoSpaceDE/>
              <w:autoSpaceDN/>
              <w:bidi w:val="0"/>
              <w:adjustRightInd/>
              <w:snapToGrid/>
              <w:spacing w:line="440" w:lineRule="exact"/>
              <w:jc w:val="left"/>
              <w:textAlignment w:val="center"/>
              <w:rPr>
                <w:rFonts w:hint="eastAsia" w:ascii="宋体" w:hAnsi="宋体" w:eastAsia="宋体" w:cs="宋体"/>
                <w:sz w:val="21"/>
                <w:szCs w:val="21"/>
              </w:rPr>
            </w:pPr>
            <w:r>
              <w:rPr>
                <w:rFonts w:hint="eastAsia" w:ascii="宋体" w:hAnsi="宋体" w:eastAsia="宋体" w:cs="宋体"/>
                <w:sz w:val="21"/>
                <w:szCs w:val="21"/>
              </w:rPr>
              <w:t>定位方式：GPS+BD+WiFi+LBS+AGNSS</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支持计步，支持VoLTE，支持震动提醒。</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电池：1000mA聚合物锂电池</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待机时长：约5天</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378</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基础</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27</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智能养老网关</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rPr>
                <w:rFonts w:hint="eastAsia" w:ascii="宋体" w:hAnsi="宋体" w:eastAsia="宋体" w:cs="宋体"/>
                <w:sz w:val="21"/>
                <w:szCs w:val="21"/>
              </w:rPr>
            </w:pPr>
            <w:r>
              <w:rPr>
                <w:rFonts w:hint="eastAsia" w:ascii="宋体" w:hAnsi="宋体" w:eastAsia="宋体" w:cs="宋体"/>
                <w:sz w:val="21"/>
                <w:szCs w:val="21"/>
              </w:rPr>
              <w:t>保证智能安全保护改造设备数据网络实时传输</w:t>
            </w:r>
          </w:p>
          <w:p>
            <w:pPr>
              <w:keepNext w:val="0"/>
              <w:keepLines w:val="0"/>
              <w:pageBreakBefore w:val="0"/>
              <w:widowControl w:val="0"/>
              <w:kinsoku/>
              <w:wordWrap/>
              <w:overflowPunct/>
              <w:topLinePunct w:val="0"/>
              <w:autoSpaceDE/>
              <w:autoSpaceDN/>
              <w:bidi w:val="0"/>
              <w:adjustRightInd/>
              <w:snapToGrid/>
              <w:spacing w:line="440" w:lineRule="exact"/>
              <w:rPr>
                <w:rFonts w:hint="eastAsia" w:ascii="宋体" w:hAnsi="宋体" w:eastAsia="宋体" w:cs="宋体"/>
                <w:sz w:val="21"/>
                <w:szCs w:val="21"/>
              </w:rPr>
            </w:pPr>
            <w:r>
              <w:rPr>
                <w:rFonts w:hint="eastAsia" w:ascii="宋体" w:hAnsi="宋体" w:eastAsia="宋体" w:cs="宋体"/>
                <w:sz w:val="21"/>
                <w:szCs w:val="21"/>
              </w:rPr>
              <w:t>无线类型：2.4GHz</w:t>
            </w:r>
          </w:p>
          <w:p>
            <w:pPr>
              <w:keepNext w:val="0"/>
              <w:keepLines w:val="0"/>
              <w:pageBreakBefore w:val="0"/>
              <w:widowControl w:val="0"/>
              <w:kinsoku/>
              <w:wordWrap/>
              <w:overflowPunct/>
              <w:topLinePunct w:val="0"/>
              <w:autoSpaceDE/>
              <w:autoSpaceDN/>
              <w:bidi w:val="0"/>
              <w:adjustRightInd/>
              <w:snapToGrid/>
              <w:spacing w:line="440" w:lineRule="exact"/>
              <w:rPr>
                <w:rFonts w:hint="eastAsia" w:ascii="宋体" w:hAnsi="宋体" w:eastAsia="宋体" w:cs="宋体"/>
                <w:sz w:val="21"/>
                <w:szCs w:val="21"/>
              </w:rPr>
            </w:pPr>
            <w:r>
              <w:rPr>
                <w:rFonts w:hint="eastAsia" w:ascii="宋体" w:hAnsi="宋体" w:eastAsia="宋体" w:cs="宋体"/>
                <w:sz w:val="21"/>
                <w:szCs w:val="21"/>
              </w:rPr>
              <w:t>工作温度：0℃-45℃工作湿度：≤90%HR 接收灵敏度：≤-100dBm</w:t>
            </w:r>
          </w:p>
          <w:p>
            <w:pPr>
              <w:keepNext w:val="0"/>
              <w:keepLines w:val="0"/>
              <w:pageBreakBefore w:val="0"/>
              <w:widowControl w:val="0"/>
              <w:kinsoku/>
              <w:wordWrap/>
              <w:overflowPunct/>
              <w:topLinePunct w:val="0"/>
              <w:autoSpaceDE/>
              <w:autoSpaceDN/>
              <w:bidi w:val="0"/>
              <w:adjustRightInd/>
              <w:snapToGrid/>
              <w:spacing w:line="440" w:lineRule="exact"/>
              <w:rPr>
                <w:rFonts w:hint="eastAsia" w:ascii="宋体" w:hAnsi="宋体" w:eastAsia="宋体" w:cs="宋体"/>
                <w:sz w:val="21"/>
                <w:szCs w:val="21"/>
              </w:rPr>
            </w:pPr>
            <w:r>
              <w:rPr>
                <w:rFonts w:hint="eastAsia" w:ascii="宋体" w:hAnsi="宋体" w:eastAsia="宋体" w:cs="宋体"/>
                <w:sz w:val="21"/>
                <w:szCs w:val="21"/>
              </w:rPr>
              <w:t>发射功率：＜20dBm</w:t>
            </w:r>
          </w:p>
          <w:p>
            <w:pPr>
              <w:keepNext w:val="0"/>
              <w:keepLines w:val="0"/>
              <w:pageBreakBefore w:val="0"/>
              <w:widowControl w:val="0"/>
              <w:kinsoku/>
              <w:wordWrap/>
              <w:overflowPunct/>
              <w:topLinePunct w:val="0"/>
              <w:autoSpaceDE/>
              <w:autoSpaceDN/>
              <w:bidi w:val="0"/>
              <w:adjustRightInd/>
              <w:snapToGrid/>
              <w:spacing w:line="440" w:lineRule="exact"/>
              <w:rPr>
                <w:rFonts w:hint="eastAsia" w:ascii="宋体" w:hAnsi="宋体" w:eastAsia="宋体" w:cs="宋体"/>
                <w:sz w:val="21"/>
                <w:szCs w:val="21"/>
              </w:rPr>
            </w:pPr>
            <w:r>
              <w:rPr>
                <w:rFonts w:hint="eastAsia" w:ascii="宋体" w:hAnsi="宋体" w:eastAsia="宋体" w:cs="宋体"/>
                <w:sz w:val="21"/>
                <w:szCs w:val="21"/>
              </w:rPr>
              <w:t>支持三网通，含一年通信费</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 xml:space="preserve">550 </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28</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紧急呼叫器</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紧急呼叫，状态指示，智能联动设备，遇险一键告警，手机、服务中心接收信息，快速反应，联动智能，含一年通信费</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250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29</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红外探测器</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安装在客厅、卫生间、卧室等居家环境中安装并实时传输数据感应人体活动、采集行动数据、滤除误报、低功耗设计。</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探测角度：≥110°探测距离：≥2m需配合网关使用。</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185</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30</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门磁感应器</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安装在室内外出入主门口处并实时传输数据感应出入情况、感应入户门、冰箱开启情况、采集行动数据、隐藏式安装、低功耗设计。工作频率：2.4GHz，需配合网关使用。</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185</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31</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燃气泄漏报警器</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发生燃气泄漏意外时响铃提醒，老年人及时处理并实时传输数据。实时燃气泄漏监控、遇险告警推送、精准探测险情、低功耗设计、误报滤除。需配合网关使用。</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185</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32</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溢水报警器</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发生溢水意外时响铃提醒老年人及时处理并实时传输数据。实时漏水监控、遇险告警推送、精准探测险情、低功耗设计、误报滤除。工作频率：2.4GHz，需配合网关使用。</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190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33</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视频摄像头</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1/4英寸Progressive Scan CMOS</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 xml:space="preserve">有效像素 </w:t>
            </w:r>
            <w:r>
              <w:rPr>
                <w:rFonts w:hint="eastAsia" w:ascii="宋体" w:hAnsi="宋体" w:eastAsia="宋体" w:cs="宋体"/>
                <w:color w:val="000000"/>
                <w:sz w:val="21"/>
                <w:szCs w:val="21"/>
              </w:rPr>
              <w:t>≥</w:t>
            </w:r>
            <w:r>
              <w:rPr>
                <w:rFonts w:hint="eastAsia" w:ascii="宋体" w:hAnsi="宋体" w:eastAsia="宋体" w:cs="宋体"/>
                <w:sz w:val="21"/>
                <w:szCs w:val="21"/>
              </w:rPr>
              <w:t>200万</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镜头参数 4mm@F2.0，对角视场角82°</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电子快门 快门自适应</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其它参数 镜头接口类型：M12</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日夜转换模式：ICR红外滤片式</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数字降噪：3D数字降噪</w:t>
            </w:r>
          </w:p>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分辨率 ≥1920×1080</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 xml:space="preserve">400 </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34</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烟雾报警器</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rPr>
              <w:t>发生浓烟意外时响铃提醒老年人及时处理并实时传输数据。实时烟雾火情监控、遇险告警推送、高精准离子式探测、独立声光告警、低功耗设计。需配合网关使用。</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190</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3" w:type="dxa"/>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35</w:t>
            </w:r>
          </w:p>
        </w:tc>
        <w:tc>
          <w:tcPr>
            <w:tcW w:w="82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智能床垫</w:t>
            </w:r>
          </w:p>
        </w:tc>
        <w:tc>
          <w:tcPr>
            <w:tcW w:w="32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center"/>
              <w:rPr>
                <w:rFonts w:hint="eastAsia" w:ascii="宋体" w:hAnsi="宋体" w:eastAsia="宋体" w:cs="宋体"/>
                <w:sz w:val="21"/>
                <w:szCs w:val="21"/>
              </w:rPr>
            </w:pPr>
            <w:r>
              <w:rPr>
                <w:rFonts w:hint="eastAsia" w:ascii="宋体" w:hAnsi="宋体" w:eastAsia="宋体" w:cs="宋体"/>
                <w:sz w:val="21"/>
                <w:szCs w:val="21"/>
                <w:lang w:bidi="zh-CN"/>
              </w:rPr>
              <w:t>监测心率、呼吸率、体动、在床、离床、温度等数据；监测入睡时间、起床时间、睡眠质量、翻身次数、起夜时间，生成睡眠报告，发生异常可及时推送报警消息。保护套材质为PU，设备外壳材质为PC材质。</w:t>
            </w:r>
          </w:p>
        </w:tc>
        <w:tc>
          <w:tcPr>
            <w:tcW w:w="62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6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个</w:t>
            </w:r>
          </w:p>
        </w:tc>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 xml:space="preserve">1260 </w:t>
            </w:r>
          </w:p>
        </w:tc>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可选</w:t>
            </w:r>
          </w:p>
        </w:tc>
        <w:tc>
          <w:tcPr>
            <w:tcW w:w="83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sz w:val="21"/>
                <w:szCs w:val="21"/>
              </w:rPr>
            </w:pPr>
            <w:r>
              <w:rPr>
                <w:rFonts w:hint="eastAsia" w:ascii="宋体" w:hAnsi="宋体" w:eastAsia="宋体" w:cs="宋体"/>
                <w:sz w:val="21"/>
                <w:szCs w:val="21"/>
                <w:lang w:eastAsia="zh-CN"/>
              </w:rPr>
              <w:t>工业（制造业）</w:t>
            </w:r>
          </w:p>
        </w:tc>
      </w:tr>
    </w:tbl>
    <w:p>
      <w:pPr>
        <w:keepNext w:val="0"/>
        <w:keepLines w:val="0"/>
        <w:pageBreakBefore w:val="0"/>
        <w:widowControl/>
        <w:numPr>
          <w:ilvl w:val="0"/>
          <w:numId w:val="0"/>
        </w:numPr>
        <w:kinsoku/>
        <w:wordWrap/>
        <w:overflowPunct/>
        <w:topLinePunct w:val="0"/>
        <w:autoSpaceDE/>
        <w:autoSpaceDN/>
        <w:bidi w:val="0"/>
        <w:adjustRightInd w:val="0"/>
        <w:snapToGrid/>
        <w:spacing w:line="440" w:lineRule="exact"/>
        <w:ind w:leftChars="0" w:firstLine="422" w:firstLineChars="200"/>
        <w:jc w:val="left"/>
        <w:textAlignment w:val="auto"/>
        <w:rPr>
          <w:rFonts w:hint="eastAsia" w:ascii="宋体" w:hAnsi="宋体" w:eastAsia="宋体" w:cs="宋体"/>
          <w:color w:val="000000"/>
          <w:sz w:val="21"/>
          <w:szCs w:val="21"/>
          <w:highlight w:val="none"/>
        </w:rPr>
      </w:pPr>
      <w:r>
        <w:rPr>
          <w:rFonts w:hint="eastAsia" w:ascii="宋体" w:hAnsi="宋体"/>
          <w:b/>
          <w:kern w:val="0"/>
          <w:sz w:val="21"/>
          <w:szCs w:val="21"/>
          <w:lang w:val="en-US" w:eastAsia="zh-CN"/>
        </w:rPr>
        <w:t>注：</w:t>
      </w:r>
      <w:r>
        <w:rPr>
          <w:rFonts w:hint="eastAsia" w:ascii="宋体" w:hAnsi="宋体"/>
          <w:b w:val="0"/>
          <w:bCs/>
          <w:color w:val="000000"/>
          <w:kern w:val="0"/>
          <w:sz w:val="21"/>
          <w:szCs w:val="21"/>
          <w:lang w:val="en-US" w:eastAsia="zh-CN"/>
        </w:rPr>
        <w:t>1.以上报价包含</w:t>
      </w:r>
      <w:r>
        <w:rPr>
          <w:rFonts w:hint="eastAsia" w:ascii="宋体" w:hAnsi="宋体" w:eastAsia="宋体" w:cs="宋体"/>
          <w:color w:val="000000"/>
          <w:sz w:val="21"/>
          <w:szCs w:val="21"/>
          <w:highlight w:val="none"/>
        </w:rPr>
        <w:t>由中标单位负责改造对象的入户调查、评估和设计，提出改造方案；根据改造方案制定施工计划；按照国家和地方有关工程施工标准和技术规范施工，确保工程质量以及施工过程中的安全生产；负责施工结束后场地的卫生清理工作；负责施工项目的质量维护改造；负责建立完整的改造档案，保留完成的改造信息，将竣工图、安装成果说明、改造前后对比图片等资料录入信息管理系统</w:t>
      </w:r>
      <w:r>
        <w:rPr>
          <w:rFonts w:hint="eastAsia" w:ascii="宋体" w:hAnsi="宋体" w:eastAsia="宋体" w:cs="宋体"/>
          <w:color w:val="000000"/>
          <w:sz w:val="21"/>
          <w:szCs w:val="21"/>
          <w:highlight w:val="none"/>
          <w:lang w:val="en-US" w:eastAsia="zh-CN"/>
        </w:rPr>
        <w:t>等与之相关的一切费用</w:t>
      </w:r>
      <w:r>
        <w:rPr>
          <w:rFonts w:hint="eastAsia" w:ascii="宋体" w:hAnsi="宋体" w:eastAsia="宋体" w:cs="宋体"/>
          <w:color w:val="000000"/>
          <w:sz w:val="21"/>
          <w:szCs w:val="21"/>
          <w:highlight w:val="none"/>
        </w:rPr>
        <w:t>。</w:t>
      </w:r>
    </w:p>
    <w:p>
      <w:pPr>
        <w:keepNext w:val="0"/>
        <w:keepLines w:val="0"/>
        <w:pageBreakBefore w:val="0"/>
        <w:widowControl/>
        <w:numPr>
          <w:ilvl w:val="0"/>
          <w:numId w:val="0"/>
        </w:numPr>
        <w:kinsoku/>
        <w:wordWrap/>
        <w:overflowPunct/>
        <w:topLinePunct w:val="0"/>
        <w:autoSpaceDE/>
        <w:autoSpaceDN/>
        <w:bidi w:val="0"/>
        <w:adjustRightInd w:val="0"/>
        <w:snapToGrid/>
        <w:spacing w:line="440" w:lineRule="exact"/>
        <w:ind w:leftChars="0" w:firstLine="420" w:firstLineChars="200"/>
        <w:jc w:val="left"/>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中标单位需与老年人家庭签署设施改造维护维修和安全使用协议</w:t>
      </w:r>
      <w:r>
        <w:rPr>
          <w:rFonts w:hint="eastAsia" w:ascii="宋体" w:hAnsi="宋体" w:eastAsia="宋体" w:cs="宋体"/>
          <w:color w:val="000000"/>
          <w:sz w:val="21"/>
          <w:szCs w:val="21"/>
          <w:highlight w:val="none"/>
          <w:lang w:eastAsia="zh-CN"/>
        </w:rPr>
        <w:t>。</w:t>
      </w:r>
    </w:p>
    <w:p>
      <w:pPr>
        <w:widowControl/>
        <w:adjustRightInd w:val="0"/>
        <w:spacing w:line="500" w:lineRule="exact"/>
        <w:rPr>
          <w:rFonts w:hint="eastAsia" w:ascii="宋体" w:hAnsi="宋体"/>
          <w:b/>
          <w:kern w:val="0"/>
          <w:sz w:val="21"/>
          <w:szCs w:val="21"/>
        </w:rPr>
      </w:pPr>
      <w:r>
        <w:rPr>
          <w:rFonts w:hint="eastAsia" w:ascii="宋体" w:hAnsi="宋体"/>
          <w:b/>
          <w:kern w:val="0"/>
          <w:sz w:val="21"/>
          <w:szCs w:val="21"/>
        </w:rPr>
        <w:t>四、需要落实的政府采购政策</w:t>
      </w:r>
    </w:p>
    <w:p>
      <w:pPr>
        <w:numPr>
          <w:ilvl w:val="1"/>
          <w:numId w:val="3"/>
        </w:numPr>
        <w:spacing w:line="500" w:lineRule="exact"/>
        <w:ind w:firstLine="422" w:firstLineChars="200"/>
        <w:rPr>
          <w:rFonts w:hint="eastAsia" w:ascii="宋体" w:hAnsi="宋体"/>
          <w:b/>
          <w:bCs/>
          <w:sz w:val="21"/>
          <w:szCs w:val="21"/>
        </w:rPr>
      </w:pPr>
      <w:r>
        <w:rPr>
          <w:rFonts w:hint="eastAsia" w:ascii="宋体" w:hAnsi="宋体"/>
          <w:b/>
          <w:bCs/>
          <w:sz w:val="21"/>
          <w:szCs w:val="21"/>
        </w:rPr>
        <w:t>促进中小企业、监狱企业和残疾人福利性单位发展扶持政策</w:t>
      </w:r>
    </w:p>
    <w:p>
      <w:pPr>
        <w:spacing w:line="500" w:lineRule="exact"/>
        <w:ind w:firstLine="422" w:firstLineChars="200"/>
        <w:rPr>
          <w:rFonts w:hint="eastAsia" w:ascii="宋体" w:hAnsi="宋体"/>
          <w:bCs/>
          <w:sz w:val="21"/>
          <w:szCs w:val="21"/>
        </w:rPr>
      </w:pPr>
      <w:r>
        <w:rPr>
          <w:rFonts w:hint="eastAsia" w:ascii="宋体" w:hAnsi="宋体"/>
          <w:b/>
          <w:bCs/>
          <w:sz w:val="21"/>
          <w:szCs w:val="21"/>
        </w:rPr>
        <w:t>促进中小企业发展扶持政策</w:t>
      </w:r>
      <w:r>
        <w:rPr>
          <w:rFonts w:hint="eastAsia" w:ascii="宋体" w:hAnsi="宋体"/>
          <w:bCs/>
          <w:sz w:val="21"/>
          <w:szCs w:val="21"/>
        </w:rPr>
        <w:t>：</w:t>
      </w:r>
    </w:p>
    <w:p>
      <w:pPr>
        <w:numPr>
          <w:ilvl w:val="0"/>
          <w:numId w:val="4"/>
        </w:numPr>
        <w:spacing w:line="500" w:lineRule="exact"/>
        <w:ind w:firstLine="424" w:firstLineChars="202"/>
        <w:rPr>
          <w:rFonts w:hint="eastAsia" w:ascii="宋体" w:hAnsi="宋体"/>
          <w:bCs/>
          <w:sz w:val="21"/>
          <w:szCs w:val="21"/>
        </w:rPr>
      </w:pPr>
      <w:r>
        <w:rPr>
          <w:rFonts w:hint="eastAsia" w:ascii="宋体" w:hAnsi="宋体"/>
          <w:bCs/>
          <w:sz w:val="21"/>
          <w:szCs w:val="21"/>
        </w:rPr>
        <w:t>中小企业认定：</w:t>
      </w:r>
    </w:p>
    <w:p>
      <w:pPr>
        <w:spacing w:line="500" w:lineRule="exact"/>
        <w:ind w:firstLine="420" w:firstLineChars="200"/>
        <w:rPr>
          <w:rFonts w:hint="eastAsia" w:ascii="宋体" w:hAnsi="宋体"/>
          <w:bCs/>
          <w:sz w:val="21"/>
          <w:szCs w:val="21"/>
        </w:rPr>
      </w:pPr>
      <w:r>
        <w:rPr>
          <w:rFonts w:hint="eastAsia" w:ascii="宋体" w:hAnsi="宋体"/>
          <w:bCs/>
          <w:sz w:val="21"/>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500" w:lineRule="exact"/>
        <w:ind w:firstLine="420" w:firstLineChars="200"/>
        <w:rPr>
          <w:rFonts w:hint="eastAsia" w:ascii="宋体" w:hAnsi="宋体"/>
          <w:bCs/>
          <w:sz w:val="21"/>
          <w:szCs w:val="21"/>
        </w:rPr>
      </w:pPr>
      <w:r>
        <w:rPr>
          <w:rFonts w:hint="eastAsia" w:ascii="宋体" w:hAnsi="宋体"/>
          <w:bCs/>
          <w:sz w:val="21"/>
          <w:szCs w:val="21"/>
        </w:rPr>
        <w:t>符合中小企业划分标准的个体工商户，在政府采购活动中视同中小企业。</w:t>
      </w:r>
    </w:p>
    <w:p>
      <w:pPr>
        <w:pStyle w:val="11"/>
        <w:spacing w:line="500" w:lineRule="exact"/>
        <w:ind w:firstLine="420" w:firstLineChars="200"/>
        <w:rPr>
          <w:rFonts w:hint="eastAsia" w:ascii="宋体" w:hAnsi="宋体"/>
          <w:sz w:val="21"/>
          <w:szCs w:val="21"/>
        </w:rPr>
      </w:pPr>
      <w:r>
        <w:rPr>
          <w:rFonts w:hint="eastAsia" w:ascii="宋体" w:hAnsi="宋体"/>
          <w:sz w:val="21"/>
          <w:szCs w:val="21"/>
        </w:rPr>
        <w:t>中小企业划分标准见《关于印发中小企业划型标准规定的通知》（工信部联企业〔2011〕300号）。</w:t>
      </w:r>
    </w:p>
    <w:p>
      <w:pPr>
        <w:spacing w:line="500" w:lineRule="exact"/>
        <w:ind w:firstLine="420" w:firstLineChars="200"/>
        <w:rPr>
          <w:rFonts w:hint="eastAsia" w:ascii="宋体" w:hAnsi="宋体"/>
          <w:bCs/>
          <w:sz w:val="21"/>
          <w:szCs w:val="21"/>
        </w:rPr>
      </w:pPr>
      <w:r>
        <w:rPr>
          <w:rFonts w:hint="eastAsia" w:ascii="宋体" w:hAnsi="宋体"/>
          <w:bCs/>
          <w:sz w:val="21"/>
          <w:szCs w:val="21"/>
        </w:rPr>
        <w:t>2.在货物采购项目中，货物由中小企业制造，即货物由中小企业生产且使用该中小企业商号或者注册商标。</w:t>
      </w:r>
    </w:p>
    <w:p>
      <w:pPr>
        <w:spacing w:line="500" w:lineRule="exact"/>
        <w:ind w:firstLine="424" w:firstLineChars="202"/>
        <w:rPr>
          <w:rFonts w:hint="eastAsia" w:ascii="宋体" w:hAnsi="宋体"/>
          <w:bCs/>
          <w:sz w:val="21"/>
          <w:szCs w:val="21"/>
        </w:rPr>
      </w:pPr>
      <w:r>
        <w:rPr>
          <w:rFonts w:hint="eastAsia" w:ascii="宋体" w:hAnsi="宋体"/>
          <w:bCs/>
          <w:sz w:val="21"/>
          <w:szCs w:val="21"/>
        </w:rPr>
        <w:t>在货物采购项目中，投标人提供的货物既有中小企业制造货物，也有大型企业制造货物的，不享受本招标文件规定的中小企业扶持政策。</w:t>
      </w:r>
    </w:p>
    <w:p>
      <w:pPr>
        <w:spacing w:line="500" w:lineRule="exact"/>
        <w:ind w:firstLine="424" w:firstLineChars="202"/>
        <w:rPr>
          <w:rFonts w:hint="eastAsia" w:ascii="宋体" w:hAnsi="宋体"/>
          <w:bCs/>
          <w:sz w:val="21"/>
          <w:szCs w:val="21"/>
        </w:rPr>
      </w:pPr>
      <w:r>
        <w:rPr>
          <w:rFonts w:hint="eastAsia" w:ascii="宋体" w:hAnsi="宋体"/>
          <w:bCs/>
          <w:sz w:val="21"/>
          <w:szCs w:val="21"/>
        </w:rPr>
        <w:t>投标人当按照招标文件规定出具《中小企业声明函》，否则不享受相关扶持政策。</w:t>
      </w:r>
    </w:p>
    <w:p>
      <w:pPr>
        <w:spacing w:line="500" w:lineRule="exact"/>
        <w:rPr>
          <w:rFonts w:hint="eastAsia" w:ascii="宋体" w:hAnsi="宋体"/>
          <w:bCs/>
          <w:sz w:val="21"/>
          <w:szCs w:val="21"/>
        </w:rPr>
      </w:pPr>
      <w:r>
        <w:rPr>
          <w:rFonts w:hint="eastAsia" w:ascii="宋体" w:hAnsi="宋体"/>
          <w:bCs/>
          <w:sz w:val="21"/>
          <w:szCs w:val="21"/>
        </w:rPr>
        <w:t>　　3.根据财库〔2014〕68号《财政部司法部关于政府采购支持监狱企业发展有关问题的通知》，监狱企业视同小微企业。提供由省级以上监狱管理局、戒毒管理局(含新疆生产建设兵团)出具的属于监狱企业的证明文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rPr>
        <w:t>件</w:t>
      </w:r>
      <w:r>
        <w:rPr>
          <w:rFonts w:hint="eastAsia" w:ascii="宋体" w:hAnsi="宋体"/>
          <w:b/>
          <w:bCs/>
          <w:color w:val="000000"/>
          <w:sz w:val="21"/>
          <w:szCs w:val="21"/>
        </w:rPr>
        <w:t>（</w:t>
      </w:r>
      <w:r>
        <w:rPr>
          <w:rFonts w:hint="eastAsia" w:ascii="宋体" w:hAnsi="宋体"/>
          <w:b/>
          <w:bCs/>
          <w:color w:val="000000"/>
          <w:kern w:val="0"/>
          <w:sz w:val="21"/>
          <w:szCs w:val="21"/>
        </w:rPr>
        <w:t>投标文件中附扫描件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sz w:val="21"/>
          <w:szCs w:val="21"/>
        </w:rPr>
      </w:pPr>
      <w:r>
        <w:rPr>
          <w:rFonts w:hint="eastAsia" w:ascii="宋体" w:hAnsi="宋体"/>
          <w:bCs/>
          <w:sz w:val="21"/>
          <w:szCs w:val="21"/>
        </w:rPr>
        <w:t>4.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spacing w:line="500" w:lineRule="exact"/>
        <w:ind w:firstLine="422" w:firstLineChars="200"/>
        <w:rPr>
          <w:rFonts w:hint="eastAsia" w:ascii="宋体" w:hAnsi="宋体"/>
          <w:b/>
          <w:bCs/>
          <w:sz w:val="21"/>
          <w:szCs w:val="21"/>
        </w:rPr>
      </w:pPr>
      <w:r>
        <w:rPr>
          <w:rFonts w:hint="eastAsia" w:ascii="宋体" w:hAnsi="宋体"/>
          <w:b/>
          <w:bCs/>
          <w:sz w:val="21"/>
          <w:szCs w:val="21"/>
        </w:rPr>
        <w:t>采购人根据投标人提供的《中小企业声明函》认定该供应商是否属于中小企业，监狱企业和残疾人福利性单位视同小型、微型企业。不属于中小企业或监狱企业或残疾人福利性单位的拒绝参与本项目投标。</w:t>
      </w:r>
    </w:p>
    <w:p>
      <w:pPr>
        <w:numPr>
          <w:ilvl w:val="1"/>
          <w:numId w:val="3"/>
        </w:numPr>
        <w:spacing w:line="500" w:lineRule="exact"/>
        <w:ind w:firstLine="422" w:firstLineChars="200"/>
        <w:rPr>
          <w:rFonts w:hint="eastAsia" w:ascii="宋体" w:hAnsi="宋体"/>
          <w:b/>
          <w:bCs/>
          <w:sz w:val="21"/>
          <w:szCs w:val="21"/>
        </w:rPr>
      </w:pPr>
      <w:r>
        <w:rPr>
          <w:rFonts w:hint="eastAsia" w:ascii="宋体" w:hAnsi="宋体"/>
          <w:b/>
          <w:bCs/>
          <w:sz w:val="21"/>
          <w:szCs w:val="21"/>
        </w:rPr>
        <w:t>节能产品、环境标志产品</w:t>
      </w:r>
    </w:p>
    <w:p>
      <w:pPr>
        <w:spacing w:line="500" w:lineRule="exact"/>
        <w:ind w:firstLine="420" w:firstLineChars="200"/>
        <w:rPr>
          <w:rFonts w:hint="eastAsia" w:ascii="宋体" w:hAnsi="宋体"/>
          <w:bCs/>
          <w:sz w:val="21"/>
          <w:szCs w:val="21"/>
        </w:rPr>
      </w:pPr>
      <w:r>
        <w:rPr>
          <w:rFonts w:hint="eastAsia" w:ascii="宋体" w:hAnsi="宋体"/>
          <w:bCs/>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000000"/>
          <w:sz w:val="21"/>
          <w:szCs w:val="21"/>
        </w:rPr>
        <w:t>书</w:t>
      </w:r>
      <w:r>
        <w:rPr>
          <w:rFonts w:hint="eastAsia" w:ascii="宋体" w:hAnsi="宋体"/>
          <w:b/>
          <w:bCs/>
          <w:color w:val="000000"/>
          <w:sz w:val="21"/>
          <w:szCs w:val="21"/>
        </w:rPr>
        <w:t>（</w:t>
      </w:r>
      <w:r>
        <w:rPr>
          <w:rFonts w:hint="eastAsia" w:ascii="宋体" w:hAnsi="宋体"/>
          <w:b/>
          <w:bCs/>
          <w:color w:val="000000"/>
          <w:kern w:val="0"/>
          <w:sz w:val="21"/>
          <w:szCs w:val="21"/>
        </w:rPr>
        <w:t>投标文件中附扫描件或复印件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否则不予认定。</w:t>
      </w:r>
    </w:p>
    <w:p>
      <w:pPr>
        <w:numPr>
          <w:ilvl w:val="1"/>
          <w:numId w:val="3"/>
        </w:numPr>
        <w:spacing w:line="500" w:lineRule="exact"/>
        <w:ind w:firstLine="422" w:firstLineChars="200"/>
        <w:rPr>
          <w:rFonts w:hint="eastAsia" w:ascii="宋体" w:hAnsi="宋体"/>
          <w:b/>
          <w:bCs/>
          <w:sz w:val="21"/>
          <w:szCs w:val="21"/>
        </w:rPr>
      </w:pPr>
      <w:r>
        <w:rPr>
          <w:rFonts w:hint="eastAsia" w:ascii="宋体" w:hAnsi="宋体"/>
          <w:b/>
          <w:bCs/>
          <w:sz w:val="21"/>
          <w:szCs w:val="21"/>
        </w:rPr>
        <w:t>信息安全产品</w:t>
      </w:r>
    </w:p>
    <w:p>
      <w:pPr>
        <w:spacing w:line="500" w:lineRule="exact"/>
        <w:ind w:firstLine="420" w:firstLineChars="200"/>
        <w:rPr>
          <w:rFonts w:hint="eastAsia" w:ascii="宋体" w:hAnsi="宋体"/>
          <w:bCs/>
          <w:sz w:val="21"/>
          <w:szCs w:val="21"/>
        </w:rPr>
      </w:pPr>
      <w:r>
        <w:rPr>
          <w:rFonts w:hint="eastAsia" w:ascii="宋体" w:hAnsi="宋体"/>
          <w:bCs/>
          <w:sz w:val="21"/>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国家认监委关于信息安全产品实施政府采购的通知》财库〔2010〕48号文件要求，本次采购产品如有信息安全产品的，需提供由中国信息安全认证中心按国家标准认证颁发的有效认证证书（投标文</w:t>
      </w:r>
      <w:bookmarkStart w:id="0" w:name="_GoBack"/>
      <w:bookmarkEnd w:id="0"/>
      <w:r>
        <w:rPr>
          <w:rFonts w:hint="eastAsia" w:ascii="宋体" w:hAnsi="宋体"/>
          <w:bCs/>
          <w:sz w:val="21"/>
          <w:szCs w:val="21"/>
        </w:rPr>
        <w:t>件中附扫描件</w:t>
      </w:r>
      <w:r>
        <w:rPr>
          <w:rFonts w:hint="eastAsia" w:ascii="宋体" w:hAnsi="宋体"/>
          <w:bCs/>
          <w:sz w:val="21"/>
          <w:szCs w:val="21"/>
          <w:lang w:eastAsia="zh-CN"/>
        </w:rPr>
        <w:t>或复印件</w:t>
      </w:r>
      <w:r>
        <w:rPr>
          <w:rFonts w:hint="eastAsia" w:ascii="宋体" w:hAnsi="宋体"/>
          <w:bCs/>
          <w:sz w:val="21"/>
          <w:szCs w:val="21"/>
        </w:rPr>
        <w:t>）。</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panose1 w:val="02040602050305030304"/>
    <w:charset w:val="00"/>
    <w:family w:val="roman"/>
    <w:pitch w:val="default"/>
    <w:sig w:usb0="00000287" w:usb1="00000000" w:usb2="00000000" w:usb3="00000000" w:csb0="2000009F" w:csb1="DFD7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default" w:ascii="宋体" w:hAnsi="宋体" w:eastAsia="宋体" w:cs="宋体"/>
        <w:sz w:val="21"/>
        <w:szCs w:val="21"/>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9F23BB"/>
    <w:rsid w:val="61566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next w:val="1"/>
    <w:uiPriority w:val="0"/>
    <w:pPr>
      <w:spacing w:after="120" w:afterLines="0"/>
      <w:ind w:left="420" w:leftChars="200" w:firstLine="420"/>
    </w:pPr>
  </w:style>
  <w:style w:type="paragraph" w:styleId="3">
    <w:name w:val="Body Text Indent"/>
    <w:basedOn w:val="1"/>
    <w:qFormat/>
    <w:uiPriority w:val="0"/>
    <w:pPr>
      <w:ind w:firstLine="560" w:firstLineChars="200"/>
    </w:pPr>
    <w:rPr>
      <w:rFonts w:ascii="仿宋_GB2312" w:eastAsia="仿宋_GB2312"/>
      <w:kern w:val="2"/>
      <w:sz w:val="28"/>
    </w:rPr>
  </w:style>
  <w:style w:type="paragraph" w:styleId="4">
    <w:name w:val="Body Text"/>
    <w:basedOn w:val="1"/>
    <w:next w:val="5"/>
    <w:qFormat/>
    <w:uiPriority w:val="0"/>
    <w:rPr>
      <w:rFonts w:ascii="Times New Roman" w:hAnsi="Times New Roman" w:eastAsia="楷体_GB2312" w:cs="Times New Roman"/>
      <w:sz w:val="28"/>
      <w:szCs w:val="24"/>
    </w:rPr>
  </w:style>
  <w:style w:type="paragraph" w:styleId="5">
    <w:name w:val="Plain Text"/>
    <w:basedOn w:val="1"/>
    <w:qFormat/>
    <w:uiPriority w:val="0"/>
    <w:rPr>
      <w:rFonts w:ascii="宋体" w:hAnsi="Courier New" w:eastAsia="宋体" w:cs="Courier New"/>
      <w:kern w:val="2"/>
      <w:sz w:val="21"/>
      <w:szCs w:val="21"/>
      <w:lang w:val="en-US" w:eastAsia="zh-CN" w:bidi="ar-SA"/>
    </w:rPr>
  </w:style>
  <w:style w:type="paragraph" w:styleId="6">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9">
    <w:name w:val="Basistekst Batenburg"/>
    <w:basedOn w:val="10"/>
    <w:qFormat/>
    <w:uiPriority w:val="0"/>
    <w:pPr>
      <w:kinsoku/>
      <w:autoSpaceDE/>
      <w:autoSpaceDN/>
      <w:adjustRightInd/>
      <w:snapToGrid/>
      <w:spacing w:line="300" w:lineRule="atLeast"/>
      <w:textAlignment w:val="auto"/>
    </w:pPr>
    <w:rPr>
      <w:rFonts w:ascii="Calibri" w:hAnsi="Calibri" w:eastAsia="宋体" w:cs="Times New Roman"/>
      <w:snapToGrid/>
      <w:color w:val="auto"/>
      <w:sz w:val="22"/>
      <w:szCs w:val="18"/>
    </w:rPr>
  </w:style>
  <w:style w:type="paragraph" w:customStyle="1" w:styleId="10">
    <w:name w:val="Zsysbasis Batenburg"/>
    <w:next w:val="9"/>
    <w:qFormat/>
    <w:uiPriority w:val="0"/>
    <w:pPr>
      <w:spacing w:line="300" w:lineRule="atLeast"/>
    </w:pPr>
    <w:rPr>
      <w:rFonts w:ascii="Calibri" w:hAnsi="Calibri" w:eastAsia="宋体" w:cs="Times New Roman"/>
      <w:sz w:val="22"/>
      <w:szCs w:val="18"/>
      <w:lang w:val="en-US" w:eastAsia="zh-CN" w:bidi="ar-SA"/>
    </w:rPr>
  </w:style>
  <w:style w:type="paragraph" w:customStyle="1" w:styleId="11">
    <w:name w:val="无间隔1"/>
    <w:basedOn w:val="1"/>
    <w:qFormat/>
    <w:uiPriority w:val="0"/>
    <w:pPr>
      <w:spacing w:line="400" w:lineRule="exact"/>
    </w:pPr>
    <w:rPr>
      <w:rFonts w:eastAsia="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2022-02-14T07:02:27Z</dcterms:created>
  <dc:creator>Administrator</dc:creator>
  <cp:lastModifiedBy>NTKO</cp:lastModifiedBy>
  <dcterms:modified xsi:type="dcterms:W3CDTF">2022-02-14T07:03:07Z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88F687DEB1104B1D840A73FFEBE540C2</vt:lpwstr>
  </property>
</Properties>
</file>